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3B" w:rsidRPr="0062026B" w:rsidRDefault="009A413B" w:rsidP="009A413B">
      <w:pPr>
        <w:spacing w:line="276" w:lineRule="auto"/>
        <w:contextualSpacing/>
        <w:jc w:val="center"/>
        <w:rPr>
          <w:rFonts w:asciiTheme="majorHAnsi" w:hAnsiTheme="majorHAnsi"/>
          <w:b/>
          <w:sz w:val="24"/>
          <w:szCs w:val="24"/>
        </w:rPr>
      </w:pPr>
      <w:r w:rsidRPr="0062026B">
        <w:rPr>
          <w:rFonts w:asciiTheme="majorHAnsi" w:hAnsiTheme="majorHAnsi"/>
          <w:b/>
          <w:sz w:val="24"/>
          <w:szCs w:val="24"/>
        </w:rPr>
        <w:t xml:space="preserve">Towards an “Embedment” approach to Social Entrepreneurship: </w:t>
      </w:r>
    </w:p>
    <w:p w:rsidR="002F18A4" w:rsidRPr="0062026B" w:rsidRDefault="00CD056B" w:rsidP="009A413B">
      <w:pPr>
        <w:spacing w:line="276" w:lineRule="auto"/>
        <w:contextualSpacing/>
        <w:jc w:val="center"/>
        <w:rPr>
          <w:rFonts w:asciiTheme="majorHAnsi" w:hAnsiTheme="majorHAnsi"/>
          <w:b/>
          <w:sz w:val="24"/>
          <w:szCs w:val="24"/>
        </w:rPr>
      </w:pPr>
      <w:r w:rsidRPr="0062026B">
        <w:rPr>
          <w:rFonts w:asciiTheme="majorHAnsi" w:hAnsiTheme="majorHAnsi"/>
          <w:b/>
          <w:sz w:val="24"/>
          <w:szCs w:val="24"/>
        </w:rPr>
        <w:t xml:space="preserve">Insights on class, </w:t>
      </w:r>
      <w:r w:rsidR="009A413B" w:rsidRPr="0062026B">
        <w:rPr>
          <w:rFonts w:asciiTheme="majorHAnsi" w:hAnsiTheme="majorHAnsi"/>
          <w:b/>
          <w:sz w:val="24"/>
          <w:szCs w:val="24"/>
        </w:rPr>
        <w:t>“</w:t>
      </w:r>
      <w:proofErr w:type="spellStart"/>
      <w:r w:rsidR="002F18A4" w:rsidRPr="0062026B">
        <w:rPr>
          <w:rFonts w:asciiTheme="majorHAnsi" w:hAnsiTheme="majorHAnsi"/>
          <w:b/>
          <w:sz w:val="24"/>
          <w:szCs w:val="24"/>
        </w:rPr>
        <w:t>movementality</w:t>
      </w:r>
      <w:proofErr w:type="spellEnd"/>
      <w:r w:rsidR="009A413B" w:rsidRPr="0062026B">
        <w:rPr>
          <w:rFonts w:asciiTheme="majorHAnsi" w:hAnsiTheme="majorHAnsi"/>
          <w:b/>
          <w:sz w:val="24"/>
          <w:szCs w:val="24"/>
        </w:rPr>
        <w:t>”</w:t>
      </w:r>
      <w:r w:rsidR="00E40515">
        <w:rPr>
          <w:rFonts w:asciiTheme="majorHAnsi" w:hAnsiTheme="majorHAnsi"/>
          <w:b/>
          <w:sz w:val="24"/>
          <w:szCs w:val="24"/>
        </w:rPr>
        <w:t xml:space="preserve"> and</w:t>
      </w:r>
      <w:r w:rsidR="009A413B" w:rsidRPr="0062026B">
        <w:rPr>
          <w:rFonts w:asciiTheme="majorHAnsi" w:hAnsiTheme="majorHAnsi"/>
          <w:b/>
          <w:sz w:val="24"/>
          <w:szCs w:val="24"/>
        </w:rPr>
        <w:t xml:space="preserve"> resource mobilization from </w:t>
      </w:r>
    </w:p>
    <w:p w:rsidR="009A413B" w:rsidRPr="0062026B" w:rsidRDefault="009A413B" w:rsidP="009A413B">
      <w:pPr>
        <w:spacing w:line="276" w:lineRule="auto"/>
        <w:contextualSpacing/>
        <w:jc w:val="center"/>
        <w:rPr>
          <w:rFonts w:asciiTheme="majorHAnsi" w:hAnsiTheme="majorHAnsi"/>
          <w:b/>
          <w:sz w:val="24"/>
          <w:szCs w:val="24"/>
          <w:lang w:val="pt-PT"/>
        </w:rPr>
      </w:pPr>
      <w:r w:rsidRPr="0062026B">
        <w:rPr>
          <w:rFonts w:asciiTheme="majorHAnsi" w:hAnsiTheme="majorHAnsi"/>
          <w:b/>
          <w:sz w:val="24"/>
          <w:szCs w:val="24"/>
          <w:lang w:val="pt-PT"/>
        </w:rPr>
        <w:t>Tamera ecovillage, Portugal</w:t>
      </w:r>
    </w:p>
    <w:p w:rsidR="009A413B" w:rsidRPr="0062026B" w:rsidRDefault="009A413B" w:rsidP="009A413B">
      <w:pPr>
        <w:jc w:val="both"/>
        <w:rPr>
          <w:rFonts w:asciiTheme="majorHAnsi" w:hAnsiTheme="majorHAnsi"/>
          <w:b/>
          <w:i/>
          <w:sz w:val="24"/>
          <w:szCs w:val="24"/>
          <w:lang w:val="pt-PT"/>
        </w:rPr>
      </w:pPr>
    </w:p>
    <w:p w:rsidR="009A413B" w:rsidRPr="0062026B" w:rsidRDefault="009A413B" w:rsidP="009A413B">
      <w:pPr>
        <w:spacing w:line="240" w:lineRule="auto"/>
        <w:contextualSpacing/>
        <w:jc w:val="both"/>
        <w:rPr>
          <w:rFonts w:asciiTheme="majorHAnsi" w:hAnsiTheme="majorHAnsi"/>
          <w:i/>
          <w:sz w:val="24"/>
          <w:szCs w:val="24"/>
          <w:lang w:val="pt-PT"/>
        </w:rPr>
      </w:pPr>
      <w:r w:rsidRPr="0062026B">
        <w:rPr>
          <w:rFonts w:asciiTheme="majorHAnsi" w:hAnsiTheme="majorHAnsi"/>
          <w:b/>
          <w:i/>
          <w:sz w:val="24"/>
          <w:szCs w:val="24"/>
          <w:lang w:val="pt-PT"/>
        </w:rPr>
        <w:t xml:space="preserve">Author: </w:t>
      </w:r>
      <w:r w:rsidRPr="0062026B">
        <w:rPr>
          <w:rFonts w:asciiTheme="majorHAnsi" w:hAnsiTheme="majorHAnsi"/>
          <w:i/>
          <w:sz w:val="24"/>
          <w:szCs w:val="24"/>
          <w:lang w:val="pt-PT"/>
        </w:rPr>
        <w:t>Ana Margarida Esteves</w:t>
      </w:r>
    </w:p>
    <w:p w:rsidR="001C730B" w:rsidRPr="0062026B" w:rsidRDefault="009A413B" w:rsidP="009A413B">
      <w:pPr>
        <w:spacing w:line="240" w:lineRule="auto"/>
        <w:contextualSpacing/>
        <w:jc w:val="both"/>
        <w:rPr>
          <w:rFonts w:asciiTheme="majorHAnsi" w:hAnsiTheme="majorHAnsi"/>
          <w:i/>
          <w:sz w:val="24"/>
          <w:szCs w:val="24"/>
          <w:lang w:val="pt-PT"/>
        </w:rPr>
      </w:pPr>
      <w:r w:rsidRPr="0062026B">
        <w:rPr>
          <w:rFonts w:asciiTheme="majorHAnsi" w:hAnsiTheme="majorHAnsi"/>
          <w:i/>
          <w:sz w:val="24"/>
          <w:szCs w:val="24"/>
          <w:lang w:val="pt-PT"/>
        </w:rPr>
        <w:t>Instituto Universitário de Lisboa (ISCTE-IUL), Centro de Estudos Internacionais (CEI)</w:t>
      </w:r>
    </w:p>
    <w:p w:rsidR="00B12145" w:rsidRDefault="00B12145" w:rsidP="009A413B">
      <w:pPr>
        <w:jc w:val="both"/>
        <w:rPr>
          <w:rFonts w:asciiTheme="majorHAnsi" w:hAnsiTheme="majorHAnsi"/>
          <w:sz w:val="24"/>
          <w:szCs w:val="24"/>
          <w:lang w:val="en-GB"/>
        </w:rPr>
      </w:pPr>
    </w:p>
    <w:p w:rsidR="00D4556E" w:rsidRPr="00F504B0" w:rsidRDefault="00F504B0" w:rsidP="00A0002A">
      <w:pPr>
        <w:pStyle w:val="Paragraphedeliste"/>
        <w:numPr>
          <w:ilvl w:val="0"/>
          <w:numId w:val="5"/>
        </w:numPr>
        <w:spacing w:line="276" w:lineRule="auto"/>
        <w:ind w:left="0" w:right="-488" w:firstLine="0"/>
        <w:jc w:val="both"/>
        <w:rPr>
          <w:rFonts w:asciiTheme="majorHAnsi" w:hAnsiTheme="majorHAnsi" w:cs="Times New Roman"/>
          <w:b/>
          <w:sz w:val="24"/>
          <w:szCs w:val="24"/>
        </w:rPr>
      </w:pPr>
      <w:proofErr w:type="spellStart"/>
      <w:r>
        <w:rPr>
          <w:rFonts w:asciiTheme="majorHAnsi" w:hAnsiTheme="majorHAnsi" w:cs="Times New Roman"/>
          <w:b/>
          <w:sz w:val="24"/>
          <w:szCs w:val="24"/>
        </w:rPr>
        <w:t>Ecovillages</w:t>
      </w:r>
      <w:proofErr w:type="spellEnd"/>
      <w:r>
        <w:rPr>
          <w:rFonts w:asciiTheme="majorHAnsi" w:hAnsiTheme="majorHAnsi" w:cs="Times New Roman"/>
          <w:b/>
          <w:sz w:val="24"/>
          <w:szCs w:val="24"/>
        </w:rPr>
        <w:t>, Social and Solidarity Economy and Social Entrepreneurship</w:t>
      </w:r>
    </w:p>
    <w:p w:rsidR="00B12145" w:rsidRPr="00F504B0" w:rsidRDefault="00D4556E" w:rsidP="00F504B0">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rPr>
        <w:t xml:space="preserve">This article is part of a case study-based project analyzing the contextual factors and processes that prevent the development of </w:t>
      </w:r>
      <w:proofErr w:type="spellStart"/>
      <w:r w:rsidRPr="0062026B">
        <w:rPr>
          <w:rFonts w:asciiTheme="majorHAnsi" w:hAnsiTheme="majorHAnsi"/>
          <w:sz w:val="24"/>
          <w:szCs w:val="24"/>
        </w:rPr>
        <w:t>decommodified</w:t>
      </w:r>
      <w:proofErr w:type="spellEnd"/>
      <w:r w:rsidRPr="0062026B">
        <w:rPr>
          <w:rFonts w:asciiTheme="majorHAnsi" w:hAnsiTheme="majorHAnsi"/>
          <w:sz w:val="24"/>
          <w:szCs w:val="24"/>
        </w:rPr>
        <w:t xml:space="preserve"> realms of production and exchange from being co-opted by the dynamics of reproduction of capitalism.</w:t>
      </w:r>
      <w:r w:rsidR="00B12145" w:rsidRPr="0062026B">
        <w:rPr>
          <w:rStyle w:val="Appelnotedebasdep"/>
          <w:rFonts w:asciiTheme="majorHAnsi" w:hAnsiTheme="majorHAnsi"/>
          <w:sz w:val="24"/>
          <w:szCs w:val="24"/>
        </w:rPr>
        <w:footnoteReference w:id="1"/>
      </w:r>
      <w:r w:rsidR="00B12145" w:rsidRPr="0062026B">
        <w:rPr>
          <w:rFonts w:asciiTheme="majorHAnsi" w:hAnsiTheme="majorHAnsi"/>
          <w:sz w:val="24"/>
          <w:szCs w:val="24"/>
          <w:lang w:val="en-GB"/>
        </w:rPr>
        <w:t xml:space="preserve"> Tamera, an </w:t>
      </w:r>
      <w:proofErr w:type="spellStart"/>
      <w:r w:rsidR="00B12145" w:rsidRPr="0062026B">
        <w:rPr>
          <w:rFonts w:asciiTheme="majorHAnsi" w:hAnsiTheme="majorHAnsi"/>
          <w:sz w:val="24"/>
          <w:szCs w:val="24"/>
          <w:lang w:val="en-GB"/>
        </w:rPr>
        <w:t>ecovillage</w:t>
      </w:r>
      <w:proofErr w:type="spellEnd"/>
      <w:r w:rsidR="00B12145" w:rsidRPr="0062026B">
        <w:rPr>
          <w:rFonts w:asciiTheme="majorHAnsi" w:hAnsiTheme="majorHAnsi"/>
          <w:sz w:val="24"/>
          <w:szCs w:val="24"/>
          <w:lang w:val="en-GB"/>
        </w:rPr>
        <w:t xml:space="preserve"> founded in 1995 in the municipality of </w:t>
      </w:r>
      <w:proofErr w:type="spellStart"/>
      <w:r w:rsidR="00B12145" w:rsidRPr="0062026B">
        <w:rPr>
          <w:rFonts w:asciiTheme="majorHAnsi" w:hAnsiTheme="majorHAnsi"/>
          <w:sz w:val="24"/>
          <w:szCs w:val="24"/>
          <w:lang w:val="en-GB"/>
        </w:rPr>
        <w:t>Odemira</w:t>
      </w:r>
      <w:proofErr w:type="spellEnd"/>
      <w:r w:rsidR="00B12145" w:rsidRPr="0062026B">
        <w:rPr>
          <w:rFonts w:asciiTheme="majorHAnsi" w:hAnsiTheme="majorHAnsi"/>
          <w:sz w:val="24"/>
          <w:szCs w:val="24"/>
          <w:lang w:val="en-GB"/>
        </w:rPr>
        <w:t xml:space="preserve">, </w:t>
      </w:r>
      <w:proofErr w:type="spellStart"/>
      <w:r w:rsidR="00B12145" w:rsidRPr="0062026B">
        <w:rPr>
          <w:rFonts w:asciiTheme="majorHAnsi" w:hAnsiTheme="majorHAnsi"/>
          <w:sz w:val="24"/>
          <w:szCs w:val="24"/>
          <w:lang w:val="en-GB"/>
        </w:rPr>
        <w:t>southwestern</w:t>
      </w:r>
      <w:proofErr w:type="spellEnd"/>
      <w:r w:rsidR="00B12145" w:rsidRPr="0062026B">
        <w:rPr>
          <w:rFonts w:asciiTheme="majorHAnsi" w:hAnsiTheme="majorHAnsi"/>
          <w:sz w:val="24"/>
          <w:szCs w:val="24"/>
          <w:lang w:val="en-GB"/>
        </w:rPr>
        <w:t xml:space="preserve"> </w:t>
      </w:r>
      <w:proofErr w:type="spellStart"/>
      <w:r w:rsidR="00B12145" w:rsidRPr="0062026B">
        <w:rPr>
          <w:rFonts w:asciiTheme="majorHAnsi" w:hAnsiTheme="majorHAnsi"/>
          <w:sz w:val="24"/>
          <w:szCs w:val="24"/>
          <w:lang w:val="en-GB"/>
        </w:rPr>
        <w:t>Alentejo</w:t>
      </w:r>
      <w:proofErr w:type="spellEnd"/>
      <w:r w:rsidR="00B12145" w:rsidRPr="0062026B">
        <w:rPr>
          <w:rFonts w:asciiTheme="majorHAnsi" w:hAnsiTheme="majorHAnsi"/>
          <w:sz w:val="24"/>
          <w:szCs w:val="24"/>
          <w:lang w:val="en-GB"/>
        </w:rPr>
        <w:t xml:space="preserve">, Portugal, has the goal of becoming a replicable model for sustainable post-capitalist human settlements. In a pamphlet produced for visitors in the summer of 2015, Tamera describes itself as practicing solidarity economy. The basis for such claim is that, since its foundation in 1995, it has been gradually building a </w:t>
      </w:r>
      <w:proofErr w:type="spellStart"/>
      <w:r w:rsidR="00B12145" w:rsidRPr="0062026B">
        <w:rPr>
          <w:rFonts w:asciiTheme="majorHAnsi" w:hAnsiTheme="majorHAnsi"/>
          <w:sz w:val="24"/>
          <w:szCs w:val="24"/>
          <w:lang w:val="en-GB"/>
        </w:rPr>
        <w:t>decommodified</w:t>
      </w:r>
      <w:proofErr w:type="spellEnd"/>
      <w:r w:rsidR="00B12145" w:rsidRPr="0062026B">
        <w:rPr>
          <w:rFonts w:asciiTheme="majorHAnsi" w:hAnsiTheme="majorHAnsi"/>
          <w:sz w:val="24"/>
          <w:szCs w:val="24"/>
          <w:lang w:val="en-GB"/>
        </w:rPr>
        <w:t xml:space="preserve"> realm of economic activity, based on community building, the reconstruction of the commons and the weaving of sustainable synergies between humans and nature. This article questions Tamera’s self-identification as a solidarity economy initiative. It argues that it represents instead an example </w:t>
      </w:r>
      <w:r w:rsidR="00312D0E">
        <w:rPr>
          <w:rFonts w:asciiTheme="majorHAnsi" w:hAnsiTheme="majorHAnsi"/>
          <w:sz w:val="24"/>
          <w:szCs w:val="24"/>
          <w:lang w:val="en-GB"/>
        </w:rPr>
        <w:t>of what I hereby define as the “</w:t>
      </w:r>
      <w:r w:rsidR="00B12145" w:rsidRPr="0062026B">
        <w:rPr>
          <w:rFonts w:asciiTheme="majorHAnsi" w:hAnsiTheme="majorHAnsi"/>
          <w:sz w:val="24"/>
          <w:szCs w:val="24"/>
          <w:lang w:val="en-GB"/>
        </w:rPr>
        <w:t>embedment’</w:t>
      </w:r>
      <w:r w:rsidR="00312D0E">
        <w:rPr>
          <w:rFonts w:asciiTheme="majorHAnsi" w:hAnsiTheme="majorHAnsi"/>
          <w:sz w:val="24"/>
          <w:szCs w:val="24"/>
          <w:lang w:val="en-GB"/>
        </w:rPr>
        <w:t>”</w:t>
      </w:r>
      <w:r w:rsidR="00B12145" w:rsidRPr="0062026B">
        <w:rPr>
          <w:rFonts w:asciiTheme="majorHAnsi" w:hAnsiTheme="majorHAnsi"/>
          <w:sz w:val="24"/>
          <w:szCs w:val="24"/>
          <w:lang w:val="en-GB"/>
        </w:rPr>
        <w:t xml:space="preserve"> approach to social entrepreneurship, in which human-nature synergies and social and cultural capital are central assets in the development of a strategy of social and economic sustainability. </w:t>
      </w:r>
    </w:p>
    <w:p w:rsidR="00B12145" w:rsidRPr="00B12145" w:rsidRDefault="00B12145" w:rsidP="00F504B0">
      <w:pPr>
        <w:pStyle w:val="Paragraphedeliste"/>
        <w:numPr>
          <w:ilvl w:val="1"/>
          <w:numId w:val="3"/>
        </w:numPr>
        <w:spacing w:line="276" w:lineRule="auto"/>
        <w:ind w:left="0" w:right="-488" w:firstLine="0"/>
        <w:jc w:val="both"/>
        <w:rPr>
          <w:rFonts w:asciiTheme="majorHAnsi" w:hAnsiTheme="majorHAnsi" w:cs="Times New Roman"/>
          <w:b/>
          <w:sz w:val="24"/>
          <w:szCs w:val="24"/>
        </w:rPr>
      </w:pPr>
      <w:proofErr w:type="spellStart"/>
      <w:r w:rsidRPr="00B12145">
        <w:rPr>
          <w:rFonts w:asciiTheme="majorHAnsi" w:hAnsiTheme="majorHAnsi" w:cs="Times New Roman"/>
          <w:b/>
          <w:sz w:val="24"/>
          <w:szCs w:val="24"/>
        </w:rPr>
        <w:t>Ecovillages</w:t>
      </w:r>
      <w:proofErr w:type="spellEnd"/>
      <w:r w:rsidRPr="00B12145">
        <w:rPr>
          <w:rFonts w:asciiTheme="majorHAnsi" w:hAnsiTheme="majorHAnsi" w:cs="Times New Roman"/>
          <w:b/>
          <w:sz w:val="24"/>
          <w:szCs w:val="24"/>
        </w:rPr>
        <w:t xml:space="preserve"> as “</w:t>
      </w:r>
      <w:proofErr w:type="spellStart"/>
      <w:r w:rsidRPr="00B12145">
        <w:rPr>
          <w:rFonts w:asciiTheme="majorHAnsi" w:hAnsiTheme="majorHAnsi" w:cs="Times New Roman"/>
          <w:b/>
          <w:sz w:val="24"/>
          <w:szCs w:val="24"/>
        </w:rPr>
        <w:t>testfields</w:t>
      </w:r>
      <w:proofErr w:type="spellEnd"/>
      <w:r w:rsidRPr="00B12145">
        <w:rPr>
          <w:rFonts w:asciiTheme="majorHAnsi" w:hAnsiTheme="majorHAnsi" w:cs="Times New Roman"/>
          <w:b/>
          <w:sz w:val="24"/>
          <w:szCs w:val="24"/>
        </w:rPr>
        <w:t xml:space="preserve">” of radical environmentalism </w:t>
      </w:r>
    </w:p>
    <w:p w:rsidR="00B12145" w:rsidRPr="0062026B" w:rsidRDefault="00B12145" w:rsidP="00F504B0">
      <w:pPr>
        <w:spacing w:line="276" w:lineRule="auto"/>
        <w:ind w:left="-284"/>
        <w:contextualSpacing/>
        <w:jc w:val="both"/>
        <w:rPr>
          <w:rFonts w:asciiTheme="majorHAnsi" w:hAnsiTheme="majorHAnsi" w:cs="Times New Roman"/>
          <w:sz w:val="24"/>
          <w:szCs w:val="24"/>
        </w:rPr>
      </w:pPr>
      <w:proofErr w:type="spellStart"/>
      <w:r w:rsidRPr="0062026B">
        <w:rPr>
          <w:rFonts w:asciiTheme="majorHAnsi" w:hAnsiTheme="majorHAnsi" w:cs="Times New Roman"/>
          <w:sz w:val="24"/>
          <w:szCs w:val="24"/>
        </w:rPr>
        <w:t>Ecovillages</w:t>
      </w:r>
      <w:proofErr w:type="spellEnd"/>
      <w:r w:rsidRPr="0062026B">
        <w:rPr>
          <w:rFonts w:asciiTheme="majorHAnsi" w:hAnsiTheme="majorHAnsi" w:cs="Times New Roman"/>
          <w:sz w:val="24"/>
          <w:szCs w:val="24"/>
        </w:rPr>
        <w:t xml:space="preserve"> have been gaining prominence, since the mid-20</w:t>
      </w:r>
      <w:r w:rsidRPr="0062026B">
        <w:rPr>
          <w:rFonts w:asciiTheme="majorHAnsi" w:hAnsiTheme="majorHAnsi" w:cs="Times New Roman"/>
          <w:sz w:val="24"/>
          <w:szCs w:val="24"/>
          <w:vertAlign w:val="superscript"/>
        </w:rPr>
        <w:t>th</w:t>
      </w:r>
      <w:r w:rsidRPr="0062026B">
        <w:rPr>
          <w:rFonts w:asciiTheme="majorHAnsi" w:hAnsiTheme="majorHAnsi" w:cs="Times New Roman"/>
          <w:sz w:val="24"/>
          <w:szCs w:val="24"/>
        </w:rPr>
        <w:t xml:space="preserve"> century, as sites of research, demonstration and training on social and environmental technologies that support the development of sustainable human settlements. These initiatives can be defined as communitarian endeavors that seek to integrate human activities with the natural world, as well as gain some measure of control over its resources, in a way that is supportive of lasting human development and environmental sustainability (Gilman, 1991; Dawson, 2006). The concept of </w:t>
      </w:r>
      <w:proofErr w:type="spellStart"/>
      <w:r w:rsidRPr="0062026B">
        <w:rPr>
          <w:rFonts w:asciiTheme="majorHAnsi" w:hAnsiTheme="majorHAnsi" w:cs="Times New Roman"/>
          <w:sz w:val="24"/>
          <w:szCs w:val="24"/>
        </w:rPr>
        <w:t>ecovillages</w:t>
      </w:r>
      <w:proofErr w:type="spellEnd"/>
      <w:r w:rsidRPr="0062026B">
        <w:rPr>
          <w:rFonts w:asciiTheme="majorHAnsi" w:hAnsiTheme="majorHAnsi" w:cs="Times New Roman"/>
          <w:sz w:val="24"/>
          <w:szCs w:val="24"/>
        </w:rPr>
        <w:t xml:space="preserve"> includes settlements as diverse as villages in developing countries that base their activities on traditional ecological knowledge (e.g. </w:t>
      </w:r>
      <w:proofErr w:type="spellStart"/>
      <w:r w:rsidRPr="0062026B">
        <w:rPr>
          <w:rFonts w:asciiTheme="majorHAnsi" w:hAnsiTheme="majorHAnsi" w:cs="Times New Roman"/>
          <w:sz w:val="24"/>
          <w:szCs w:val="24"/>
        </w:rPr>
        <w:t>Colufifa</w:t>
      </w:r>
      <w:proofErr w:type="spellEnd"/>
      <w:r w:rsidRPr="0062026B">
        <w:rPr>
          <w:rFonts w:asciiTheme="majorHAnsi" w:hAnsiTheme="majorHAnsi" w:cs="Times New Roman"/>
          <w:sz w:val="24"/>
          <w:szCs w:val="24"/>
        </w:rPr>
        <w:t xml:space="preserve">, Senegal); farmland communes with sustainable living structures (e.g. </w:t>
      </w:r>
      <w:proofErr w:type="spellStart"/>
      <w:r w:rsidRPr="0062026B">
        <w:rPr>
          <w:rFonts w:asciiTheme="majorHAnsi" w:hAnsiTheme="majorHAnsi" w:cs="Times New Roman"/>
          <w:sz w:val="24"/>
          <w:szCs w:val="24"/>
        </w:rPr>
        <w:t>Svanhlom</w:t>
      </w:r>
      <w:proofErr w:type="spellEnd"/>
      <w:r w:rsidRPr="0062026B">
        <w:rPr>
          <w:rFonts w:asciiTheme="majorHAnsi" w:hAnsiTheme="majorHAnsi" w:cs="Times New Roman"/>
          <w:sz w:val="24"/>
          <w:szCs w:val="24"/>
        </w:rPr>
        <w:t xml:space="preserve">, Denmark and </w:t>
      </w:r>
      <w:proofErr w:type="spellStart"/>
      <w:r w:rsidRPr="0062026B">
        <w:rPr>
          <w:rFonts w:asciiTheme="majorHAnsi" w:hAnsiTheme="majorHAnsi" w:cs="Times New Roman"/>
          <w:sz w:val="24"/>
          <w:szCs w:val="24"/>
        </w:rPr>
        <w:t>Eartheaven</w:t>
      </w:r>
      <w:proofErr w:type="spellEnd"/>
      <w:r w:rsidRPr="0062026B">
        <w:rPr>
          <w:rFonts w:asciiTheme="majorHAnsi" w:hAnsiTheme="majorHAnsi" w:cs="Times New Roman"/>
          <w:sz w:val="24"/>
          <w:szCs w:val="24"/>
        </w:rPr>
        <w:t xml:space="preserve">, USA); eco-architectural town experiments (e.g. </w:t>
      </w:r>
      <w:proofErr w:type="spellStart"/>
      <w:r w:rsidRPr="0062026B">
        <w:rPr>
          <w:rFonts w:asciiTheme="majorHAnsi" w:hAnsiTheme="majorHAnsi" w:cs="Times New Roman"/>
          <w:sz w:val="24"/>
          <w:szCs w:val="24"/>
        </w:rPr>
        <w:t>Auroville</w:t>
      </w:r>
      <w:proofErr w:type="spellEnd"/>
      <w:r w:rsidRPr="0062026B">
        <w:rPr>
          <w:rFonts w:asciiTheme="majorHAnsi" w:hAnsiTheme="majorHAnsi" w:cs="Times New Roman"/>
          <w:sz w:val="24"/>
          <w:szCs w:val="24"/>
        </w:rPr>
        <w:t xml:space="preserve">, India) and spiritual communities with ecological infrastructures (e.g. Damanhur, Italy and </w:t>
      </w:r>
      <w:proofErr w:type="spellStart"/>
      <w:r w:rsidRPr="0062026B">
        <w:rPr>
          <w:rFonts w:asciiTheme="majorHAnsi" w:hAnsiTheme="majorHAnsi" w:cs="Times New Roman"/>
          <w:sz w:val="24"/>
          <w:szCs w:val="24"/>
        </w:rPr>
        <w:t>Wongsamit</w:t>
      </w:r>
      <w:proofErr w:type="spellEnd"/>
      <w:r w:rsidRPr="0062026B">
        <w:rPr>
          <w:rFonts w:asciiTheme="majorHAnsi" w:hAnsiTheme="majorHAnsi" w:cs="Times New Roman"/>
          <w:sz w:val="24"/>
          <w:szCs w:val="24"/>
        </w:rPr>
        <w:t xml:space="preserve"> Ashram, Thailand) (</w:t>
      </w:r>
      <w:proofErr w:type="spellStart"/>
      <w:r w:rsidRPr="0062026B">
        <w:rPr>
          <w:rFonts w:asciiTheme="majorHAnsi" w:hAnsiTheme="majorHAnsi" w:cs="Times New Roman"/>
          <w:sz w:val="24"/>
          <w:szCs w:val="24"/>
        </w:rPr>
        <w:t>Kunze</w:t>
      </w:r>
      <w:proofErr w:type="spellEnd"/>
      <w:r w:rsidRPr="0062026B">
        <w:rPr>
          <w:rFonts w:asciiTheme="majorHAnsi" w:hAnsiTheme="majorHAnsi" w:cs="Times New Roman"/>
          <w:sz w:val="24"/>
          <w:szCs w:val="24"/>
        </w:rPr>
        <w:t xml:space="preserve"> and </w:t>
      </w:r>
      <w:proofErr w:type="spellStart"/>
      <w:r w:rsidRPr="0062026B">
        <w:rPr>
          <w:rFonts w:asciiTheme="majorHAnsi" w:hAnsiTheme="majorHAnsi" w:cs="Times New Roman"/>
          <w:sz w:val="24"/>
          <w:szCs w:val="24"/>
        </w:rPr>
        <w:t>Avelino</w:t>
      </w:r>
      <w:proofErr w:type="spellEnd"/>
      <w:r w:rsidRPr="0062026B">
        <w:rPr>
          <w:rFonts w:asciiTheme="majorHAnsi" w:hAnsiTheme="majorHAnsi" w:cs="Times New Roman"/>
          <w:sz w:val="24"/>
          <w:szCs w:val="24"/>
        </w:rPr>
        <w:t xml:space="preserve">, 2015). It also includes intentional communities like Tamera, which self-identifies primarily as a training and experiential site whose educational initiatives focus on the social and cultural aspects of intentional community building, as well as on the synergies between </w:t>
      </w:r>
      <w:r w:rsidRPr="0062026B">
        <w:rPr>
          <w:rFonts w:asciiTheme="majorHAnsi" w:hAnsiTheme="majorHAnsi" w:cs="Times New Roman"/>
          <w:sz w:val="24"/>
          <w:szCs w:val="24"/>
        </w:rPr>
        <w:lastRenderedPageBreak/>
        <w:t xml:space="preserve">this dimension and the economic, ecological and technological aspects of such process. Despite their diversity, </w:t>
      </w:r>
      <w:proofErr w:type="spellStart"/>
      <w:r w:rsidRPr="0062026B">
        <w:rPr>
          <w:rFonts w:asciiTheme="majorHAnsi" w:hAnsiTheme="majorHAnsi" w:cs="Times New Roman"/>
          <w:sz w:val="24"/>
          <w:szCs w:val="24"/>
        </w:rPr>
        <w:t>ecovillages</w:t>
      </w:r>
      <w:proofErr w:type="spellEnd"/>
      <w:r w:rsidRPr="0062026B">
        <w:rPr>
          <w:rFonts w:asciiTheme="majorHAnsi" w:hAnsiTheme="majorHAnsi" w:cs="Times New Roman"/>
          <w:sz w:val="24"/>
          <w:szCs w:val="24"/>
        </w:rPr>
        <w:t xml:space="preserve"> share the purpose of being “laboratories for the future”, “</w:t>
      </w:r>
      <w:proofErr w:type="spellStart"/>
      <w:r w:rsidRPr="0062026B">
        <w:rPr>
          <w:rFonts w:asciiTheme="majorHAnsi" w:hAnsiTheme="majorHAnsi" w:cs="Times New Roman"/>
          <w:sz w:val="24"/>
          <w:szCs w:val="24"/>
        </w:rPr>
        <w:t>testfields</w:t>
      </w:r>
      <w:proofErr w:type="spellEnd"/>
      <w:r w:rsidRPr="0062026B">
        <w:rPr>
          <w:rFonts w:asciiTheme="majorHAnsi" w:hAnsiTheme="majorHAnsi" w:cs="Times New Roman"/>
          <w:sz w:val="24"/>
          <w:szCs w:val="24"/>
        </w:rPr>
        <w:t>” for a structural transition towards a socio-economic systems based on post-carbon technology and the reconstitution of the commons (</w:t>
      </w:r>
      <w:proofErr w:type="spellStart"/>
      <w:r w:rsidRPr="0062026B">
        <w:rPr>
          <w:rFonts w:asciiTheme="majorHAnsi" w:hAnsiTheme="majorHAnsi" w:cs="Times New Roman"/>
          <w:sz w:val="24"/>
          <w:szCs w:val="24"/>
        </w:rPr>
        <w:t>Berzano</w:t>
      </w:r>
      <w:proofErr w:type="spellEnd"/>
      <w:r w:rsidRPr="0062026B">
        <w:rPr>
          <w:rFonts w:asciiTheme="majorHAnsi" w:hAnsiTheme="majorHAnsi" w:cs="Times New Roman"/>
          <w:sz w:val="24"/>
          <w:szCs w:val="24"/>
        </w:rPr>
        <w:t xml:space="preserve">, 1998; Minor, 1998; Merrifield, 2006; Thomas and Thomas, 2013; </w:t>
      </w:r>
      <w:proofErr w:type="spellStart"/>
      <w:r w:rsidRPr="0062026B">
        <w:rPr>
          <w:rFonts w:asciiTheme="majorHAnsi" w:hAnsiTheme="majorHAnsi" w:cs="Times New Roman"/>
          <w:sz w:val="24"/>
          <w:szCs w:val="24"/>
        </w:rPr>
        <w:t>Dregger</w:t>
      </w:r>
      <w:proofErr w:type="spellEnd"/>
      <w:r w:rsidRPr="0062026B">
        <w:rPr>
          <w:rFonts w:asciiTheme="majorHAnsi" w:hAnsiTheme="majorHAnsi" w:cs="Times New Roman"/>
          <w:sz w:val="24"/>
          <w:szCs w:val="24"/>
        </w:rPr>
        <w:t xml:space="preserve"> and </w:t>
      </w:r>
      <w:proofErr w:type="spellStart"/>
      <w:r w:rsidRPr="0062026B">
        <w:rPr>
          <w:rFonts w:asciiTheme="majorHAnsi" w:hAnsiTheme="majorHAnsi" w:cs="Times New Roman"/>
          <w:sz w:val="24"/>
          <w:szCs w:val="24"/>
        </w:rPr>
        <w:t>Joubert</w:t>
      </w:r>
      <w:proofErr w:type="spellEnd"/>
      <w:r w:rsidRPr="0062026B">
        <w:rPr>
          <w:rFonts w:asciiTheme="majorHAnsi" w:hAnsiTheme="majorHAnsi" w:cs="Times New Roman"/>
          <w:sz w:val="24"/>
          <w:szCs w:val="24"/>
        </w:rPr>
        <w:t xml:space="preserve">, 2015; Meltzer, 2015). They also share a radical environmental approach, rooted in a holistic </w:t>
      </w:r>
      <w:proofErr w:type="spellStart"/>
      <w:r w:rsidRPr="0062026B">
        <w:rPr>
          <w:rFonts w:asciiTheme="majorHAnsi" w:hAnsiTheme="majorHAnsi" w:cs="Times New Roman"/>
          <w:sz w:val="24"/>
          <w:szCs w:val="24"/>
        </w:rPr>
        <w:t>cosmovision</w:t>
      </w:r>
      <w:proofErr w:type="spellEnd"/>
      <w:r w:rsidRPr="0062026B">
        <w:rPr>
          <w:rFonts w:asciiTheme="majorHAnsi" w:hAnsiTheme="majorHAnsi" w:cs="Times New Roman"/>
          <w:sz w:val="24"/>
          <w:szCs w:val="24"/>
        </w:rPr>
        <w:t xml:space="preserve"> that regards ecology, community building, science and spirituality as integrated, inseparable fields (Harland and </w:t>
      </w:r>
      <w:proofErr w:type="spellStart"/>
      <w:r w:rsidRPr="0062026B">
        <w:rPr>
          <w:rFonts w:asciiTheme="majorHAnsi" w:hAnsiTheme="majorHAnsi" w:cs="Times New Roman"/>
          <w:sz w:val="24"/>
          <w:szCs w:val="24"/>
        </w:rPr>
        <w:t>Keepin</w:t>
      </w:r>
      <w:proofErr w:type="spellEnd"/>
      <w:r w:rsidRPr="0062026B">
        <w:rPr>
          <w:rFonts w:asciiTheme="majorHAnsi" w:hAnsiTheme="majorHAnsi" w:cs="Times New Roman"/>
          <w:sz w:val="24"/>
          <w:szCs w:val="24"/>
        </w:rPr>
        <w:t xml:space="preserve">, 2014). </w:t>
      </w:r>
    </w:p>
    <w:p w:rsidR="00B12145" w:rsidRPr="00AD0B61" w:rsidRDefault="00B12145" w:rsidP="00F504B0">
      <w:pPr>
        <w:pStyle w:val="Paragraphedeliste"/>
        <w:numPr>
          <w:ilvl w:val="1"/>
          <w:numId w:val="3"/>
        </w:numPr>
        <w:spacing w:line="276" w:lineRule="auto"/>
        <w:ind w:left="0" w:firstLine="0"/>
        <w:jc w:val="both"/>
        <w:rPr>
          <w:rFonts w:asciiTheme="majorHAnsi" w:hAnsiTheme="majorHAnsi"/>
          <w:b/>
          <w:sz w:val="24"/>
          <w:szCs w:val="24"/>
          <w:lang w:val="en-GB"/>
        </w:rPr>
      </w:pPr>
      <w:r w:rsidRPr="00AD0B61">
        <w:rPr>
          <w:rFonts w:asciiTheme="majorHAnsi" w:hAnsiTheme="majorHAnsi"/>
          <w:b/>
          <w:sz w:val="24"/>
          <w:szCs w:val="24"/>
          <w:lang w:val="en-GB"/>
        </w:rPr>
        <w:t>Social an</w:t>
      </w:r>
      <w:r w:rsidR="00AD0B61">
        <w:rPr>
          <w:rFonts w:asciiTheme="majorHAnsi" w:hAnsiTheme="majorHAnsi"/>
          <w:b/>
          <w:sz w:val="24"/>
          <w:szCs w:val="24"/>
          <w:lang w:val="en-GB"/>
        </w:rPr>
        <w:t>d solidarity economy: E</w:t>
      </w:r>
      <w:r w:rsidR="004F20B1">
        <w:rPr>
          <w:rFonts w:asciiTheme="majorHAnsi" w:hAnsiTheme="majorHAnsi"/>
          <w:b/>
          <w:sz w:val="24"/>
          <w:szCs w:val="24"/>
          <w:lang w:val="en-GB"/>
        </w:rPr>
        <w:t>mpowerment and “</w:t>
      </w:r>
      <w:proofErr w:type="spellStart"/>
      <w:r w:rsidR="004F20B1">
        <w:rPr>
          <w:rFonts w:asciiTheme="majorHAnsi" w:hAnsiTheme="majorHAnsi"/>
          <w:b/>
          <w:sz w:val="24"/>
          <w:szCs w:val="24"/>
          <w:lang w:val="en-GB"/>
        </w:rPr>
        <w:t>movementality</w:t>
      </w:r>
      <w:proofErr w:type="spellEnd"/>
      <w:r w:rsidR="004F20B1">
        <w:rPr>
          <w:rFonts w:asciiTheme="majorHAnsi" w:hAnsiTheme="majorHAnsi"/>
          <w:b/>
          <w:sz w:val="24"/>
          <w:szCs w:val="24"/>
          <w:lang w:val="en-GB"/>
        </w:rPr>
        <w:t>”</w:t>
      </w:r>
    </w:p>
    <w:p w:rsidR="00B12145" w:rsidRDefault="004A0D57" w:rsidP="0048625F">
      <w:pPr>
        <w:spacing w:line="276" w:lineRule="auto"/>
        <w:ind w:left="-284"/>
        <w:contextualSpacing/>
        <w:jc w:val="both"/>
        <w:rPr>
          <w:rFonts w:asciiTheme="majorHAnsi" w:hAnsiTheme="majorHAnsi"/>
          <w:sz w:val="24"/>
          <w:szCs w:val="24"/>
          <w:lang w:val="en-GB"/>
        </w:rPr>
      </w:pPr>
      <w:r>
        <w:rPr>
          <w:rFonts w:asciiTheme="majorHAnsi" w:hAnsiTheme="majorHAnsi"/>
          <w:sz w:val="24"/>
          <w:szCs w:val="24"/>
          <w:lang w:val="en-GB"/>
        </w:rPr>
        <w:t>The concept of</w:t>
      </w:r>
      <w:r w:rsidR="00B12145" w:rsidRPr="0062026B">
        <w:rPr>
          <w:rFonts w:asciiTheme="majorHAnsi" w:hAnsiTheme="majorHAnsi"/>
          <w:sz w:val="24"/>
          <w:szCs w:val="24"/>
          <w:lang w:val="en-GB"/>
        </w:rPr>
        <w:t xml:space="preserve"> solidarity economy is used to give visibility to the social dynamics that embed social economy initiatives emerging from grassroots resistance to socio-economic exclusion, as well as the rolling back of labour rights and the welfare state (</w:t>
      </w:r>
      <w:proofErr w:type="spellStart"/>
      <w:r w:rsidR="00B12145" w:rsidRPr="0062026B">
        <w:rPr>
          <w:rFonts w:asciiTheme="majorHAnsi" w:hAnsiTheme="majorHAnsi"/>
          <w:sz w:val="24"/>
          <w:szCs w:val="24"/>
          <w:lang w:val="en-GB"/>
        </w:rPr>
        <w:t>Estivill</w:t>
      </w:r>
      <w:proofErr w:type="spellEnd"/>
      <w:r w:rsidR="00B12145" w:rsidRPr="0062026B">
        <w:rPr>
          <w:rFonts w:asciiTheme="majorHAnsi" w:hAnsiTheme="majorHAnsi"/>
          <w:sz w:val="24"/>
          <w:szCs w:val="24"/>
          <w:lang w:val="en-GB"/>
        </w:rPr>
        <w:t xml:space="preserve">, Bernier and </w:t>
      </w:r>
      <w:proofErr w:type="spellStart"/>
      <w:r w:rsidR="00B12145" w:rsidRPr="0062026B">
        <w:rPr>
          <w:rFonts w:asciiTheme="majorHAnsi" w:hAnsiTheme="majorHAnsi"/>
          <w:sz w:val="24"/>
          <w:szCs w:val="24"/>
          <w:lang w:val="en-GB"/>
        </w:rPr>
        <w:t>Valadou</w:t>
      </w:r>
      <w:proofErr w:type="spellEnd"/>
      <w:r w:rsidR="00B12145" w:rsidRPr="0062026B">
        <w:rPr>
          <w:rFonts w:asciiTheme="majorHAnsi" w:hAnsiTheme="majorHAnsi"/>
          <w:sz w:val="24"/>
          <w:szCs w:val="24"/>
          <w:lang w:val="en-GB"/>
        </w:rPr>
        <w:t xml:space="preserve">, 1997; Singer, 2002; </w:t>
      </w:r>
      <w:proofErr w:type="spellStart"/>
      <w:r w:rsidR="00B12145" w:rsidRPr="0062026B">
        <w:rPr>
          <w:rFonts w:asciiTheme="majorHAnsi" w:hAnsiTheme="majorHAnsi"/>
          <w:sz w:val="24"/>
          <w:szCs w:val="24"/>
          <w:lang w:val="en-GB"/>
        </w:rPr>
        <w:t>Amaro</w:t>
      </w:r>
      <w:proofErr w:type="spellEnd"/>
      <w:r w:rsidR="00B12145" w:rsidRPr="0062026B">
        <w:rPr>
          <w:rFonts w:asciiTheme="majorHAnsi" w:hAnsiTheme="majorHAnsi"/>
          <w:sz w:val="24"/>
          <w:szCs w:val="24"/>
          <w:lang w:val="en-GB"/>
        </w:rPr>
        <w:t xml:space="preserve">, 2010). </w:t>
      </w:r>
      <w:r w:rsidR="004F20B1">
        <w:rPr>
          <w:rFonts w:asciiTheme="majorHAnsi" w:hAnsiTheme="majorHAnsi"/>
          <w:sz w:val="24"/>
          <w:szCs w:val="24"/>
          <w:lang w:val="en-GB"/>
        </w:rPr>
        <w:t>The social economy comprises a “third sector”</w:t>
      </w:r>
      <w:r w:rsidR="00B12145" w:rsidRPr="0062026B">
        <w:rPr>
          <w:rFonts w:asciiTheme="majorHAnsi" w:hAnsiTheme="majorHAnsi"/>
          <w:sz w:val="24"/>
          <w:szCs w:val="24"/>
          <w:lang w:val="en-GB"/>
        </w:rPr>
        <w:t xml:space="preserve"> of organizations, between the market and the public sector, whose purpose is to increase empowerment and participation in the economy among its members or wider community (</w:t>
      </w:r>
      <w:proofErr w:type="spellStart"/>
      <w:r w:rsidR="00B12145" w:rsidRPr="0062026B">
        <w:rPr>
          <w:rFonts w:asciiTheme="majorHAnsi" w:hAnsiTheme="majorHAnsi"/>
          <w:sz w:val="24"/>
          <w:szCs w:val="24"/>
          <w:lang w:val="en-GB"/>
        </w:rPr>
        <w:t>Defourny</w:t>
      </w:r>
      <w:proofErr w:type="spellEnd"/>
      <w:r w:rsidR="00B12145" w:rsidRPr="0062026B">
        <w:rPr>
          <w:rFonts w:asciiTheme="majorHAnsi" w:hAnsiTheme="majorHAnsi"/>
          <w:sz w:val="24"/>
          <w:szCs w:val="24"/>
          <w:lang w:val="en-GB"/>
        </w:rPr>
        <w:t>, 2009). It is rooted in practices of economic self-organization and welfare provision from the European labour movement of the 19</w:t>
      </w:r>
      <w:r w:rsidR="00B12145" w:rsidRPr="0062026B">
        <w:rPr>
          <w:rFonts w:asciiTheme="majorHAnsi" w:hAnsiTheme="majorHAnsi"/>
          <w:sz w:val="24"/>
          <w:szCs w:val="24"/>
          <w:vertAlign w:val="superscript"/>
          <w:lang w:val="en-GB"/>
        </w:rPr>
        <w:t>th</w:t>
      </w:r>
      <w:r w:rsidR="00B12145" w:rsidRPr="0062026B">
        <w:rPr>
          <w:rFonts w:asciiTheme="majorHAnsi" w:hAnsiTheme="majorHAnsi"/>
          <w:sz w:val="24"/>
          <w:szCs w:val="24"/>
          <w:lang w:val="en-GB"/>
        </w:rPr>
        <w:t xml:space="preserve"> and 20</w:t>
      </w:r>
      <w:r w:rsidR="00B12145" w:rsidRPr="0062026B">
        <w:rPr>
          <w:rFonts w:asciiTheme="majorHAnsi" w:hAnsiTheme="majorHAnsi"/>
          <w:sz w:val="24"/>
          <w:szCs w:val="24"/>
          <w:vertAlign w:val="superscript"/>
          <w:lang w:val="en-GB"/>
        </w:rPr>
        <w:t>th</w:t>
      </w:r>
      <w:r w:rsidR="00B12145" w:rsidRPr="0062026B">
        <w:rPr>
          <w:rFonts w:asciiTheme="majorHAnsi" w:hAnsiTheme="majorHAnsi"/>
          <w:sz w:val="24"/>
          <w:szCs w:val="24"/>
          <w:lang w:val="en-GB"/>
        </w:rPr>
        <w:t xml:space="preserve"> century, including a range of institutional forms such as associations, cooperatives and </w:t>
      </w:r>
      <w:proofErr w:type="spellStart"/>
      <w:r w:rsidR="00B12145" w:rsidRPr="0062026B">
        <w:rPr>
          <w:rFonts w:asciiTheme="majorHAnsi" w:hAnsiTheme="majorHAnsi"/>
          <w:sz w:val="24"/>
          <w:szCs w:val="24"/>
          <w:lang w:val="en-GB"/>
        </w:rPr>
        <w:t>mutualities</w:t>
      </w:r>
      <w:proofErr w:type="spellEnd"/>
      <w:r w:rsidR="00B12145" w:rsidRPr="0062026B">
        <w:rPr>
          <w:rFonts w:asciiTheme="majorHAnsi" w:hAnsiTheme="majorHAnsi"/>
          <w:sz w:val="24"/>
          <w:szCs w:val="24"/>
          <w:lang w:val="en-GB"/>
        </w:rPr>
        <w:t xml:space="preserve"> (</w:t>
      </w:r>
      <w:proofErr w:type="spellStart"/>
      <w:r w:rsidR="00B12145" w:rsidRPr="0062026B">
        <w:rPr>
          <w:rFonts w:asciiTheme="majorHAnsi" w:hAnsiTheme="majorHAnsi"/>
          <w:sz w:val="24"/>
          <w:szCs w:val="24"/>
          <w:lang w:val="en-GB"/>
        </w:rPr>
        <w:t>Defourny</w:t>
      </w:r>
      <w:proofErr w:type="spellEnd"/>
      <w:r w:rsidR="00B12145" w:rsidRPr="0062026B">
        <w:rPr>
          <w:rFonts w:asciiTheme="majorHAnsi" w:hAnsiTheme="majorHAnsi"/>
          <w:sz w:val="24"/>
          <w:szCs w:val="24"/>
          <w:lang w:val="en-GB"/>
        </w:rPr>
        <w:t xml:space="preserve"> and </w:t>
      </w:r>
      <w:proofErr w:type="spellStart"/>
      <w:r w:rsidR="00B12145" w:rsidRPr="0062026B">
        <w:rPr>
          <w:rFonts w:asciiTheme="majorHAnsi" w:hAnsiTheme="majorHAnsi"/>
          <w:sz w:val="24"/>
          <w:szCs w:val="24"/>
          <w:lang w:val="en-GB"/>
        </w:rPr>
        <w:t>Borzaga</w:t>
      </w:r>
      <w:proofErr w:type="spellEnd"/>
      <w:r w:rsidR="00B12145" w:rsidRPr="0062026B">
        <w:rPr>
          <w:rFonts w:asciiTheme="majorHAnsi" w:hAnsiTheme="majorHAnsi"/>
          <w:sz w:val="24"/>
          <w:szCs w:val="24"/>
          <w:lang w:val="en-GB"/>
        </w:rPr>
        <w:t>, 2001). In this framework, the delivery of social value is understood as a process that articulates social economy initiatives with the state, the market and civil society (</w:t>
      </w:r>
      <w:proofErr w:type="spellStart"/>
      <w:r w:rsidR="00B12145" w:rsidRPr="0062026B">
        <w:rPr>
          <w:rFonts w:asciiTheme="majorHAnsi" w:hAnsiTheme="majorHAnsi"/>
          <w:sz w:val="24"/>
          <w:szCs w:val="24"/>
          <w:lang w:val="en-GB"/>
        </w:rPr>
        <w:t>Quintão</w:t>
      </w:r>
      <w:proofErr w:type="spellEnd"/>
      <w:r w:rsidR="00B12145" w:rsidRPr="0062026B">
        <w:rPr>
          <w:rFonts w:asciiTheme="majorHAnsi" w:hAnsiTheme="majorHAnsi"/>
          <w:sz w:val="24"/>
          <w:szCs w:val="24"/>
          <w:lang w:val="en-GB"/>
        </w:rPr>
        <w:t xml:space="preserve"> and </w:t>
      </w:r>
      <w:proofErr w:type="spellStart"/>
      <w:r w:rsidR="00B12145" w:rsidRPr="0062026B">
        <w:rPr>
          <w:rFonts w:asciiTheme="majorHAnsi" w:hAnsiTheme="majorHAnsi"/>
          <w:sz w:val="24"/>
          <w:szCs w:val="24"/>
          <w:lang w:val="en-GB"/>
        </w:rPr>
        <w:t>Parente</w:t>
      </w:r>
      <w:proofErr w:type="spellEnd"/>
      <w:r w:rsidR="00B12145" w:rsidRPr="0062026B">
        <w:rPr>
          <w:rFonts w:asciiTheme="majorHAnsi" w:hAnsiTheme="majorHAnsi"/>
          <w:sz w:val="24"/>
          <w:szCs w:val="24"/>
          <w:lang w:val="en-GB"/>
        </w:rPr>
        <w:t>, 2015). Solidarity economy promotes forms of economic empowerment and welfare provision, alternative to those promoted by the welfare state, which are based on voluntary and egalitarian links between individuals who recognize each other as bound by an interdependence that is not prescribed nor inherited, (</w:t>
      </w:r>
      <w:proofErr w:type="spellStart"/>
      <w:r w:rsidR="00B12145" w:rsidRPr="0062026B">
        <w:rPr>
          <w:rFonts w:asciiTheme="majorHAnsi" w:hAnsiTheme="majorHAnsi"/>
          <w:sz w:val="24"/>
          <w:szCs w:val="24"/>
          <w:lang w:val="en-GB"/>
        </w:rPr>
        <w:t>Estivill</w:t>
      </w:r>
      <w:proofErr w:type="spellEnd"/>
      <w:r w:rsidR="00B12145" w:rsidRPr="0062026B">
        <w:rPr>
          <w:rFonts w:asciiTheme="majorHAnsi" w:hAnsiTheme="majorHAnsi"/>
          <w:sz w:val="24"/>
          <w:szCs w:val="24"/>
          <w:lang w:val="en-GB"/>
        </w:rPr>
        <w:t xml:space="preserve">, Bernier and </w:t>
      </w:r>
      <w:proofErr w:type="spellStart"/>
      <w:r w:rsidR="00B12145" w:rsidRPr="0062026B">
        <w:rPr>
          <w:rFonts w:asciiTheme="majorHAnsi" w:hAnsiTheme="majorHAnsi"/>
          <w:sz w:val="24"/>
          <w:szCs w:val="24"/>
          <w:lang w:val="en-GB"/>
        </w:rPr>
        <w:t>Valadou</w:t>
      </w:r>
      <w:proofErr w:type="spellEnd"/>
      <w:r w:rsidR="00B12145" w:rsidRPr="0062026B">
        <w:rPr>
          <w:rFonts w:asciiTheme="majorHAnsi" w:hAnsiTheme="majorHAnsi"/>
          <w:sz w:val="24"/>
          <w:szCs w:val="24"/>
          <w:lang w:val="en-GB"/>
        </w:rPr>
        <w:t xml:space="preserve">, 1997; </w:t>
      </w:r>
      <w:proofErr w:type="spellStart"/>
      <w:r w:rsidR="00B12145" w:rsidRPr="0062026B">
        <w:rPr>
          <w:rFonts w:asciiTheme="majorHAnsi" w:hAnsiTheme="majorHAnsi"/>
          <w:sz w:val="24"/>
          <w:szCs w:val="24"/>
          <w:lang w:val="en-GB"/>
        </w:rPr>
        <w:t>Laville</w:t>
      </w:r>
      <w:proofErr w:type="spellEnd"/>
      <w:r w:rsidR="00B12145" w:rsidRPr="0062026B">
        <w:rPr>
          <w:rFonts w:asciiTheme="majorHAnsi" w:hAnsiTheme="majorHAnsi"/>
          <w:sz w:val="24"/>
          <w:szCs w:val="24"/>
          <w:lang w:val="en-GB"/>
        </w:rPr>
        <w:t xml:space="preserve">, 1999). Such interdependence supports practices, based on solidarity and reciprocity, which promote a realm of </w:t>
      </w:r>
      <w:proofErr w:type="spellStart"/>
      <w:r w:rsidR="00B12145" w:rsidRPr="0062026B">
        <w:rPr>
          <w:rFonts w:asciiTheme="majorHAnsi" w:hAnsiTheme="majorHAnsi"/>
          <w:sz w:val="24"/>
          <w:szCs w:val="24"/>
          <w:lang w:val="en-GB"/>
        </w:rPr>
        <w:t>decommodified</w:t>
      </w:r>
      <w:proofErr w:type="spellEnd"/>
      <w:r w:rsidR="00B12145" w:rsidRPr="0062026B">
        <w:rPr>
          <w:rFonts w:asciiTheme="majorHAnsi" w:hAnsiTheme="majorHAnsi"/>
          <w:sz w:val="24"/>
          <w:szCs w:val="24"/>
          <w:lang w:val="en-GB"/>
        </w:rPr>
        <w:t xml:space="preserve"> economic activity in which the sustainability of economic initiatives becomes more determined by the recognition of social value and support provided by the community, than by efficiency in the allocation of economic resources or maximization of revenue generation (</w:t>
      </w:r>
      <w:proofErr w:type="spellStart"/>
      <w:r w:rsidR="00B12145" w:rsidRPr="0062026B">
        <w:rPr>
          <w:rFonts w:asciiTheme="majorHAnsi" w:hAnsiTheme="majorHAnsi"/>
          <w:sz w:val="24"/>
          <w:szCs w:val="24"/>
          <w:lang w:val="en-GB"/>
        </w:rPr>
        <w:t>Amaro</w:t>
      </w:r>
      <w:proofErr w:type="spellEnd"/>
      <w:r w:rsidR="00B12145" w:rsidRPr="0062026B">
        <w:rPr>
          <w:rFonts w:asciiTheme="majorHAnsi" w:hAnsiTheme="majorHAnsi"/>
          <w:sz w:val="24"/>
          <w:szCs w:val="24"/>
          <w:lang w:val="en-GB"/>
        </w:rPr>
        <w:t xml:space="preserve">, 2010).  Implicit to the recognition of such interdependence is also the promotion of participatory and inclusive forms of democratic governance, not only within individual economic initiatives, but also in the networks that they are part of (Singer, 2002; </w:t>
      </w:r>
      <w:proofErr w:type="spellStart"/>
      <w:r w:rsidR="00B12145" w:rsidRPr="0062026B">
        <w:rPr>
          <w:rFonts w:asciiTheme="majorHAnsi" w:hAnsiTheme="majorHAnsi"/>
          <w:sz w:val="24"/>
          <w:szCs w:val="24"/>
          <w:lang w:val="en-GB"/>
        </w:rPr>
        <w:t>Amaro</w:t>
      </w:r>
      <w:proofErr w:type="spellEnd"/>
      <w:r w:rsidR="00B12145" w:rsidRPr="0062026B">
        <w:rPr>
          <w:rFonts w:asciiTheme="majorHAnsi" w:hAnsiTheme="majorHAnsi"/>
          <w:sz w:val="24"/>
          <w:szCs w:val="24"/>
          <w:lang w:val="en-GB"/>
        </w:rPr>
        <w:t>, 2010; RIPESS, 2013). Although the promotion of environmental sustainability is also a core characteristic of solidarity economy, such goal is framed in reference to the promotion of human wellbeing and empowerment (</w:t>
      </w:r>
      <w:proofErr w:type="spellStart"/>
      <w:r w:rsidR="00B12145" w:rsidRPr="0062026B">
        <w:rPr>
          <w:rFonts w:asciiTheme="majorHAnsi" w:hAnsiTheme="majorHAnsi"/>
          <w:sz w:val="24"/>
          <w:szCs w:val="24"/>
          <w:lang w:val="en-GB"/>
        </w:rPr>
        <w:t>Amaro</w:t>
      </w:r>
      <w:proofErr w:type="spellEnd"/>
      <w:r w:rsidR="00B12145" w:rsidRPr="0062026B">
        <w:rPr>
          <w:rFonts w:asciiTheme="majorHAnsi" w:hAnsiTheme="majorHAnsi"/>
          <w:sz w:val="24"/>
          <w:szCs w:val="24"/>
          <w:lang w:val="en-GB"/>
        </w:rPr>
        <w:t>, 2010). Among such initiatives, one may find traditional social economy organizations, such as production and consumption cooperatives, as well as more innovative frameworks, such as cooperative networks of micro entrepreneurs, grassroots-managed microcredit funds, time banks or barter networks (Cunha and Santos, 2011).</w:t>
      </w:r>
    </w:p>
    <w:p w:rsidR="0019761C" w:rsidRPr="0062026B" w:rsidRDefault="0019761C" w:rsidP="00DB2C5E">
      <w:pPr>
        <w:spacing w:line="276" w:lineRule="auto"/>
        <w:ind w:left="-284" w:firstLine="720"/>
        <w:contextualSpacing/>
        <w:jc w:val="both"/>
        <w:rPr>
          <w:rFonts w:asciiTheme="majorHAnsi" w:hAnsiTheme="majorHAnsi"/>
          <w:sz w:val="24"/>
          <w:szCs w:val="24"/>
          <w:lang w:val="en-GB"/>
        </w:rPr>
      </w:pPr>
    </w:p>
    <w:p w:rsidR="00B12145" w:rsidRDefault="00B12145" w:rsidP="0048625F">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lang w:val="en-GB"/>
        </w:rPr>
        <w:lastRenderedPageBreak/>
        <w:t>The construction of economic practices based on perceived interdependence is connected to the recognition of physical and social proximity between individuals, which indicates that embedment in place-based dynamics of collective action is a central feature of solidarity economy (</w:t>
      </w:r>
      <w:proofErr w:type="spellStart"/>
      <w:r w:rsidRPr="0062026B">
        <w:rPr>
          <w:rFonts w:asciiTheme="majorHAnsi" w:hAnsiTheme="majorHAnsi"/>
          <w:sz w:val="24"/>
          <w:szCs w:val="24"/>
          <w:lang w:val="en-GB"/>
        </w:rPr>
        <w:t>Laville</w:t>
      </w:r>
      <w:proofErr w:type="spellEnd"/>
      <w:r w:rsidRPr="0062026B">
        <w:rPr>
          <w:rFonts w:asciiTheme="majorHAnsi" w:hAnsiTheme="majorHAnsi"/>
          <w:sz w:val="24"/>
          <w:szCs w:val="24"/>
          <w:lang w:val="en-GB"/>
        </w:rPr>
        <w:t xml:space="preserve">, 2009: 25; </w:t>
      </w:r>
      <w:proofErr w:type="spellStart"/>
      <w:r w:rsidRPr="0062026B">
        <w:rPr>
          <w:rFonts w:asciiTheme="majorHAnsi" w:hAnsiTheme="majorHAnsi"/>
          <w:sz w:val="24"/>
          <w:szCs w:val="24"/>
          <w:lang w:val="en-GB"/>
        </w:rPr>
        <w:t>Defourny</w:t>
      </w:r>
      <w:proofErr w:type="spellEnd"/>
      <w:r w:rsidRPr="0062026B">
        <w:rPr>
          <w:rFonts w:asciiTheme="majorHAnsi" w:hAnsiTheme="majorHAnsi"/>
          <w:sz w:val="24"/>
          <w:szCs w:val="24"/>
          <w:lang w:val="en-GB"/>
        </w:rPr>
        <w:t xml:space="preserve">, 2001). </w:t>
      </w:r>
      <w:proofErr w:type="spellStart"/>
      <w:r w:rsidRPr="0062026B">
        <w:rPr>
          <w:rFonts w:asciiTheme="majorHAnsi" w:hAnsiTheme="majorHAnsi"/>
          <w:sz w:val="24"/>
          <w:szCs w:val="24"/>
          <w:lang w:val="en-GB"/>
        </w:rPr>
        <w:t>Rakopoulos</w:t>
      </w:r>
      <w:proofErr w:type="spellEnd"/>
      <w:r w:rsidRPr="0062026B">
        <w:rPr>
          <w:rFonts w:asciiTheme="majorHAnsi" w:hAnsiTheme="majorHAnsi"/>
          <w:sz w:val="24"/>
          <w:szCs w:val="24"/>
          <w:lang w:val="en-GB"/>
        </w:rPr>
        <w:t xml:space="preserve"> (2015) identifies suc</w:t>
      </w:r>
      <w:r w:rsidR="004F20B1">
        <w:rPr>
          <w:rFonts w:asciiTheme="majorHAnsi" w:hAnsiTheme="majorHAnsi"/>
          <w:sz w:val="24"/>
          <w:szCs w:val="24"/>
          <w:lang w:val="en-GB"/>
        </w:rPr>
        <w:t>h embedment with what he calls “</w:t>
      </w:r>
      <w:proofErr w:type="spellStart"/>
      <w:r w:rsidR="004F20B1">
        <w:rPr>
          <w:rFonts w:asciiTheme="majorHAnsi" w:hAnsiTheme="majorHAnsi"/>
          <w:sz w:val="24"/>
          <w:szCs w:val="24"/>
          <w:lang w:val="en-GB"/>
        </w:rPr>
        <w:t>movementality</w:t>
      </w:r>
      <w:proofErr w:type="spellEnd"/>
      <w:r w:rsidR="004F20B1">
        <w:rPr>
          <w:rFonts w:asciiTheme="majorHAnsi" w:hAnsiTheme="majorHAnsi"/>
          <w:sz w:val="24"/>
          <w:szCs w:val="24"/>
          <w:lang w:val="en-GB"/>
        </w:rPr>
        <w:t>”</w:t>
      </w:r>
      <w:r w:rsidRPr="0062026B">
        <w:rPr>
          <w:rFonts w:asciiTheme="majorHAnsi" w:hAnsiTheme="majorHAnsi"/>
          <w:sz w:val="24"/>
          <w:szCs w:val="24"/>
          <w:lang w:val="en-GB"/>
        </w:rPr>
        <w:t>. This can be defined as a transformative learning process that links the material and moral aspects of production, commercialization and consumption with social mobilization and political education. Such process is grounded in a Marxist political economy outlook, focusing on the power structures and dynamics that underlie the material conditions of production and the reproduction of everyday</w:t>
      </w:r>
      <w:r w:rsidR="004F20B1">
        <w:rPr>
          <w:rFonts w:asciiTheme="majorHAnsi" w:hAnsiTheme="majorHAnsi"/>
          <w:sz w:val="24"/>
          <w:szCs w:val="24"/>
          <w:lang w:val="en-GB"/>
        </w:rPr>
        <w:t xml:space="preserve"> life. The core orientation of “</w:t>
      </w:r>
      <w:proofErr w:type="spellStart"/>
      <w:r w:rsidR="004F20B1">
        <w:rPr>
          <w:rFonts w:asciiTheme="majorHAnsi" w:hAnsiTheme="majorHAnsi"/>
          <w:sz w:val="24"/>
          <w:szCs w:val="24"/>
          <w:lang w:val="en-GB"/>
        </w:rPr>
        <w:t>movementality</w:t>
      </w:r>
      <w:proofErr w:type="spellEnd"/>
      <w:r w:rsidR="004F20B1">
        <w:rPr>
          <w:rFonts w:asciiTheme="majorHAnsi" w:hAnsiTheme="majorHAnsi"/>
          <w:sz w:val="24"/>
          <w:szCs w:val="24"/>
          <w:lang w:val="en-GB"/>
        </w:rPr>
        <w:t>”</w:t>
      </w:r>
      <w:r w:rsidRPr="0062026B">
        <w:rPr>
          <w:rFonts w:asciiTheme="majorHAnsi" w:hAnsiTheme="majorHAnsi"/>
          <w:sz w:val="24"/>
          <w:szCs w:val="24"/>
          <w:lang w:val="en-GB"/>
        </w:rPr>
        <w:t xml:space="preserve"> is the raising of consciousness about such structures and dynamics, as well as the envisioning of alternatives to the status quo that entail a democratic participation in economic activity and a fairer distribution of resources. It also implies the mobilization of the community to implement them through immediate action in a form of direct democracy, leading to the emergence of economic initiatives coordinated by the logic of reciprocity and the common good, instead of private interest. </w:t>
      </w:r>
    </w:p>
    <w:p w:rsidR="0019761C" w:rsidRPr="0062026B" w:rsidRDefault="0019761C" w:rsidP="00DB2C5E">
      <w:pPr>
        <w:spacing w:line="276" w:lineRule="auto"/>
        <w:ind w:left="-284" w:firstLine="720"/>
        <w:contextualSpacing/>
        <w:jc w:val="both"/>
        <w:rPr>
          <w:rFonts w:asciiTheme="majorHAnsi" w:hAnsiTheme="majorHAnsi"/>
          <w:sz w:val="24"/>
          <w:szCs w:val="24"/>
          <w:lang w:val="en-GB"/>
        </w:rPr>
      </w:pPr>
    </w:p>
    <w:p w:rsidR="00B12145" w:rsidRPr="0062026B" w:rsidRDefault="00B12145" w:rsidP="003F3AAC">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xml:space="preserve"> share core characteristics of solidarity economy, namely the promotion of a realm of </w:t>
      </w:r>
      <w:proofErr w:type="spellStart"/>
      <w:r w:rsidRPr="0062026B">
        <w:rPr>
          <w:rFonts w:asciiTheme="majorHAnsi" w:hAnsiTheme="majorHAnsi"/>
          <w:sz w:val="24"/>
          <w:szCs w:val="24"/>
          <w:lang w:val="en-GB"/>
        </w:rPr>
        <w:t>decommodified</w:t>
      </w:r>
      <w:proofErr w:type="spellEnd"/>
      <w:r w:rsidRPr="0062026B">
        <w:rPr>
          <w:rFonts w:asciiTheme="majorHAnsi" w:hAnsiTheme="majorHAnsi"/>
          <w:sz w:val="24"/>
          <w:szCs w:val="24"/>
          <w:lang w:val="en-GB"/>
        </w:rPr>
        <w:t xml:space="preserve"> economic activity based on the recognition of interdependence, which is at the heart of intentional community-building. The promotion of transformative learning processes is also a core aspect of their mission. However, it is questionable if such processes </w:t>
      </w:r>
      <w:r w:rsidR="004F20B1">
        <w:rPr>
          <w:rFonts w:asciiTheme="majorHAnsi" w:hAnsiTheme="majorHAnsi"/>
          <w:sz w:val="24"/>
          <w:szCs w:val="24"/>
          <w:lang w:val="en-GB"/>
        </w:rPr>
        <w:t>can be identified as a form of “</w:t>
      </w:r>
      <w:proofErr w:type="spellStart"/>
      <w:r w:rsidR="004F20B1">
        <w:rPr>
          <w:rFonts w:asciiTheme="majorHAnsi" w:hAnsiTheme="majorHAnsi"/>
          <w:sz w:val="24"/>
          <w:szCs w:val="24"/>
          <w:lang w:val="en-GB"/>
        </w:rPr>
        <w:t>movementality</w:t>
      </w:r>
      <w:proofErr w:type="spellEnd"/>
      <w:r w:rsidR="004F20B1">
        <w:rPr>
          <w:rFonts w:asciiTheme="majorHAnsi" w:hAnsiTheme="majorHAnsi"/>
          <w:sz w:val="24"/>
          <w:szCs w:val="24"/>
          <w:lang w:val="en-GB"/>
        </w:rPr>
        <w:t>”</w:t>
      </w:r>
      <w:r w:rsidRPr="0062026B">
        <w:rPr>
          <w:rFonts w:asciiTheme="majorHAnsi" w:hAnsiTheme="majorHAnsi"/>
          <w:sz w:val="24"/>
          <w:szCs w:val="24"/>
          <w:lang w:val="en-GB"/>
        </w:rPr>
        <w:t xml:space="preserve">. The core purpose of </w:t>
      </w: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xml:space="preserve"> is not to increase participation in the economy, facilitate access to welfare provision</w:t>
      </w:r>
      <w:r w:rsidR="004F20B1">
        <w:rPr>
          <w:rFonts w:asciiTheme="majorHAnsi" w:hAnsiTheme="majorHAnsi"/>
          <w:sz w:val="24"/>
          <w:szCs w:val="24"/>
          <w:lang w:val="en-GB"/>
        </w:rPr>
        <w:t xml:space="preserve"> or even improve human welfare “per se”</w:t>
      </w:r>
      <w:r w:rsidRPr="0062026B">
        <w:rPr>
          <w:rFonts w:asciiTheme="majorHAnsi" w:hAnsiTheme="majorHAnsi"/>
          <w:sz w:val="24"/>
          <w:szCs w:val="24"/>
          <w:lang w:val="en-GB"/>
        </w:rPr>
        <w:t xml:space="preserve">. Their radical environmental outlook and focus on the embedment of human activities in the natural world implies a vision of sustainability and social transformation in which the promotion of such synergies is given priority over the tackling of material and symbolic inequalities. </w:t>
      </w:r>
    </w:p>
    <w:p w:rsidR="00B12145" w:rsidRPr="00AD0B61" w:rsidRDefault="004F20B1" w:rsidP="00F504B0">
      <w:pPr>
        <w:pStyle w:val="Paragraphedeliste"/>
        <w:numPr>
          <w:ilvl w:val="1"/>
          <w:numId w:val="3"/>
        </w:numPr>
        <w:spacing w:line="276" w:lineRule="auto"/>
        <w:ind w:left="0" w:right="-489" w:firstLine="0"/>
        <w:jc w:val="both"/>
        <w:rPr>
          <w:rFonts w:asciiTheme="majorHAnsi" w:hAnsiTheme="majorHAnsi"/>
          <w:sz w:val="24"/>
          <w:szCs w:val="24"/>
          <w:lang w:val="en-GB"/>
        </w:rPr>
      </w:pPr>
      <w:r>
        <w:rPr>
          <w:rFonts w:asciiTheme="majorHAnsi" w:hAnsiTheme="majorHAnsi"/>
          <w:b/>
          <w:sz w:val="24"/>
          <w:szCs w:val="24"/>
          <w:lang w:val="en-GB"/>
        </w:rPr>
        <w:t>More than “business methods”</w:t>
      </w:r>
      <w:r w:rsidR="00B12145" w:rsidRPr="00AD0B61">
        <w:rPr>
          <w:rFonts w:asciiTheme="majorHAnsi" w:hAnsiTheme="majorHAnsi"/>
          <w:b/>
          <w:sz w:val="24"/>
          <w:szCs w:val="24"/>
          <w:lang w:val="en-GB"/>
        </w:rPr>
        <w:t xml:space="preserve"> and social innovation</w:t>
      </w:r>
    </w:p>
    <w:p w:rsidR="00F67C61" w:rsidRPr="0062026B" w:rsidRDefault="00B12145" w:rsidP="003F3AAC">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xml:space="preserve"> may be identified as a form of social entrepreneurship, given their core mission of promoting social and environmental sustainability. Social entrepreneurship is generally defined as the process of seizing opportunities to shift economic resources out of an area of lower and into an area of higher efficiency, so as to deliver, in an innovative and superior manner, social value in a way that has transformative and lasting social impact (</w:t>
      </w:r>
      <w:proofErr w:type="spellStart"/>
      <w:r w:rsidRPr="0062026B">
        <w:rPr>
          <w:rFonts w:asciiTheme="majorHAnsi" w:hAnsiTheme="majorHAnsi"/>
          <w:sz w:val="24"/>
          <w:szCs w:val="24"/>
          <w:lang w:val="en-GB"/>
        </w:rPr>
        <w:t>Leadebeater</w:t>
      </w:r>
      <w:proofErr w:type="spellEnd"/>
      <w:r w:rsidRPr="0062026B">
        <w:rPr>
          <w:rFonts w:asciiTheme="majorHAnsi" w:hAnsiTheme="majorHAnsi"/>
          <w:sz w:val="24"/>
          <w:szCs w:val="24"/>
          <w:lang w:val="en-GB"/>
        </w:rPr>
        <w:t xml:space="preserve">, 1996; Bornstein, 2007; </w:t>
      </w:r>
      <w:proofErr w:type="spellStart"/>
      <w:r w:rsidRPr="0062026B">
        <w:rPr>
          <w:rFonts w:asciiTheme="majorHAnsi" w:hAnsiTheme="majorHAnsi"/>
          <w:sz w:val="24"/>
          <w:szCs w:val="24"/>
          <w:lang w:val="en-GB"/>
        </w:rPr>
        <w:t>Elkington</w:t>
      </w:r>
      <w:proofErr w:type="spellEnd"/>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Hartigan</w:t>
      </w:r>
      <w:proofErr w:type="spellEnd"/>
      <w:r w:rsidRPr="0062026B">
        <w:rPr>
          <w:rFonts w:asciiTheme="majorHAnsi" w:hAnsiTheme="majorHAnsi"/>
          <w:sz w:val="24"/>
          <w:szCs w:val="24"/>
          <w:lang w:val="en-GB"/>
        </w:rPr>
        <w:t xml:space="preserve">, 2008; </w:t>
      </w:r>
      <w:proofErr w:type="spellStart"/>
      <w:r w:rsidRPr="0062026B">
        <w:rPr>
          <w:rFonts w:asciiTheme="majorHAnsi" w:hAnsiTheme="majorHAnsi"/>
          <w:sz w:val="24"/>
          <w:szCs w:val="24"/>
          <w:lang w:val="en-GB"/>
        </w:rPr>
        <w:t>Quintão</w:t>
      </w:r>
      <w:proofErr w:type="spellEnd"/>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Parente</w:t>
      </w:r>
      <w:proofErr w:type="spellEnd"/>
      <w:r w:rsidRPr="0062026B">
        <w:rPr>
          <w:rFonts w:asciiTheme="majorHAnsi" w:hAnsiTheme="majorHAnsi"/>
          <w:sz w:val="24"/>
          <w:szCs w:val="24"/>
          <w:lang w:val="en-GB"/>
        </w:rPr>
        <w:t xml:space="preserve">, 2015: 56-7). Still, existing approaches to social entrepreneurship are too limited to properly define the form of social entrepreneurship promoted by </w:t>
      </w: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One may identify a ‘business methods’ approach to social entrepreneurship, which borrows from the outlook and methods of market-driven enterprises (</w:t>
      </w:r>
      <w:proofErr w:type="spellStart"/>
      <w:r w:rsidRPr="0062026B">
        <w:rPr>
          <w:rFonts w:asciiTheme="majorHAnsi" w:hAnsiTheme="majorHAnsi"/>
          <w:sz w:val="24"/>
          <w:szCs w:val="24"/>
          <w:lang w:val="en-GB"/>
        </w:rPr>
        <w:t>Peredo</w:t>
      </w:r>
      <w:proofErr w:type="spellEnd"/>
      <w:r w:rsidRPr="0062026B">
        <w:rPr>
          <w:rFonts w:asciiTheme="majorHAnsi" w:hAnsiTheme="majorHAnsi"/>
          <w:sz w:val="24"/>
          <w:szCs w:val="24"/>
          <w:lang w:val="en-GB"/>
        </w:rPr>
        <w:t xml:space="preserve"> and McLean, 2006: 58; </w:t>
      </w:r>
      <w:proofErr w:type="spellStart"/>
      <w:r w:rsidRPr="0062026B">
        <w:rPr>
          <w:rFonts w:asciiTheme="majorHAnsi" w:hAnsiTheme="majorHAnsi"/>
          <w:sz w:val="24"/>
          <w:szCs w:val="24"/>
          <w:lang w:val="en-GB"/>
        </w:rPr>
        <w:t>Quintão</w:t>
      </w:r>
      <w:proofErr w:type="spellEnd"/>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Parente</w:t>
      </w:r>
      <w:proofErr w:type="spellEnd"/>
      <w:r w:rsidRPr="0062026B">
        <w:rPr>
          <w:rFonts w:asciiTheme="majorHAnsi" w:hAnsiTheme="majorHAnsi"/>
          <w:sz w:val="24"/>
          <w:szCs w:val="24"/>
          <w:lang w:val="en-GB"/>
        </w:rPr>
        <w:t>, 2015: 56). It defines</w:t>
      </w:r>
      <w:r w:rsidR="004F20B1">
        <w:rPr>
          <w:rFonts w:asciiTheme="majorHAnsi" w:hAnsiTheme="majorHAnsi"/>
          <w:sz w:val="24"/>
          <w:szCs w:val="24"/>
          <w:lang w:val="en-GB"/>
        </w:rPr>
        <w:t xml:space="preserve"> social entrepreneurship as an “</w:t>
      </w:r>
      <w:r w:rsidRPr="0062026B">
        <w:rPr>
          <w:rFonts w:asciiTheme="majorHAnsi" w:hAnsiTheme="majorHAnsi"/>
          <w:sz w:val="24"/>
          <w:szCs w:val="24"/>
          <w:lang w:val="en-GB"/>
        </w:rPr>
        <w:t>innovative approach to the mission o</w:t>
      </w:r>
      <w:r w:rsidR="004F20B1">
        <w:rPr>
          <w:rFonts w:asciiTheme="majorHAnsi" w:hAnsiTheme="majorHAnsi"/>
          <w:sz w:val="24"/>
          <w:szCs w:val="24"/>
          <w:lang w:val="en-GB"/>
        </w:rPr>
        <w:t>f delivering community services” which maximizes “</w:t>
      </w:r>
      <w:r w:rsidRPr="0062026B">
        <w:rPr>
          <w:rFonts w:asciiTheme="majorHAnsi" w:hAnsiTheme="majorHAnsi"/>
          <w:sz w:val="24"/>
          <w:szCs w:val="24"/>
          <w:lang w:val="en-GB"/>
        </w:rPr>
        <w:t>revenue generation from programs by applying principles from for-profit businesses with</w:t>
      </w:r>
      <w:r w:rsidR="004F20B1">
        <w:rPr>
          <w:rFonts w:asciiTheme="majorHAnsi" w:hAnsiTheme="majorHAnsi"/>
          <w:sz w:val="24"/>
          <w:szCs w:val="24"/>
          <w:lang w:val="en-GB"/>
        </w:rPr>
        <w:t>out neglecting the core mission”</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Pomerantz</w:t>
      </w:r>
      <w:proofErr w:type="spellEnd"/>
      <w:r w:rsidRPr="0062026B">
        <w:rPr>
          <w:rFonts w:asciiTheme="majorHAnsi" w:hAnsiTheme="majorHAnsi"/>
          <w:sz w:val="24"/>
          <w:szCs w:val="24"/>
          <w:lang w:val="en-GB"/>
        </w:rPr>
        <w:t>, 2003:</w:t>
      </w:r>
      <w:r w:rsidR="004F20B1">
        <w:rPr>
          <w:rFonts w:asciiTheme="majorHAnsi" w:hAnsiTheme="majorHAnsi"/>
          <w:sz w:val="24"/>
          <w:szCs w:val="24"/>
          <w:lang w:val="en-GB"/>
        </w:rPr>
        <w:t xml:space="preserve"> </w:t>
      </w:r>
      <w:r w:rsidR="004F20B1">
        <w:rPr>
          <w:rFonts w:asciiTheme="majorHAnsi" w:hAnsiTheme="majorHAnsi"/>
          <w:sz w:val="24"/>
          <w:szCs w:val="24"/>
          <w:lang w:val="en-GB"/>
        </w:rPr>
        <w:lastRenderedPageBreak/>
        <w:t>26). One may also identify an “</w:t>
      </w:r>
      <w:r w:rsidRPr="0062026B">
        <w:rPr>
          <w:rFonts w:asciiTheme="majorHAnsi" w:hAnsiTheme="majorHAnsi"/>
          <w:sz w:val="24"/>
          <w:szCs w:val="24"/>
          <w:lang w:val="en-GB"/>
        </w:rPr>
        <w:t>innovation-cent</w:t>
      </w:r>
      <w:r w:rsidR="004F20B1">
        <w:rPr>
          <w:rFonts w:asciiTheme="majorHAnsi" w:hAnsiTheme="majorHAnsi"/>
          <w:sz w:val="24"/>
          <w:szCs w:val="24"/>
          <w:lang w:val="en-GB"/>
        </w:rPr>
        <w:t>red”</w:t>
      </w:r>
      <w:r w:rsidRPr="0062026B">
        <w:rPr>
          <w:rFonts w:asciiTheme="majorHAnsi" w:hAnsiTheme="majorHAnsi"/>
          <w:sz w:val="24"/>
          <w:szCs w:val="24"/>
          <w:lang w:val="en-GB"/>
        </w:rPr>
        <w:t xml:space="preserve"> approach, anchored in Schumpeter’s theories of entrepreneurship and social change, which focuses on the social entrepreneur’s capacity to produce fundamental changes in the social sector by promoting innovative strategies for addressing the causes of societal problems (</w:t>
      </w:r>
      <w:proofErr w:type="spellStart"/>
      <w:r w:rsidRPr="0062026B">
        <w:rPr>
          <w:rFonts w:asciiTheme="majorHAnsi" w:hAnsiTheme="majorHAnsi"/>
          <w:sz w:val="24"/>
          <w:szCs w:val="24"/>
          <w:lang w:val="en-GB"/>
        </w:rPr>
        <w:t>Quintão</w:t>
      </w:r>
      <w:proofErr w:type="spellEnd"/>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Parente</w:t>
      </w:r>
      <w:proofErr w:type="spellEnd"/>
      <w:r w:rsidRPr="0062026B">
        <w:rPr>
          <w:rFonts w:asciiTheme="majorHAnsi" w:hAnsiTheme="majorHAnsi"/>
          <w:sz w:val="24"/>
          <w:szCs w:val="24"/>
          <w:lang w:val="en-GB"/>
        </w:rPr>
        <w:t>, 2015: 58). Both approaches are limited by a neo-classical conceptual bias that neglects the socio-economic and institutional context in which such process takes place (</w:t>
      </w:r>
      <w:proofErr w:type="spellStart"/>
      <w:r w:rsidRPr="0062026B">
        <w:rPr>
          <w:rFonts w:asciiTheme="majorHAnsi" w:hAnsiTheme="majorHAnsi"/>
          <w:sz w:val="24"/>
          <w:szCs w:val="24"/>
          <w:lang w:val="en-GB"/>
        </w:rPr>
        <w:t>Amaro</w:t>
      </w:r>
      <w:proofErr w:type="spellEnd"/>
      <w:r w:rsidRPr="0062026B">
        <w:rPr>
          <w:rFonts w:asciiTheme="majorHAnsi" w:hAnsiTheme="majorHAnsi"/>
          <w:sz w:val="24"/>
          <w:szCs w:val="24"/>
          <w:lang w:val="en-GB"/>
        </w:rPr>
        <w:t xml:space="preserve">, 2015: 12; </w:t>
      </w:r>
      <w:proofErr w:type="spellStart"/>
      <w:r w:rsidRPr="0062026B">
        <w:rPr>
          <w:rFonts w:asciiTheme="majorHAnsi" w:hAnsiTheme="majorHAnsi"/>
          <w:sz w:val="24"/>
          <w:szCs w:val="24"/>
          <w:lang w:val="en-GB"/>
        </w:rPr>
        <w:t>Estivill</w:t>
      </w:r>
      <w:proofErr w:type="spellEnd"/>
      <w:r w:rsidRPr="0062026B">
        <w:rPr>
          <w:rFonts w:asciiTheme="majorHAnsi" w:hAnsiTheme="majorHAnsi"/>
          <w:sz w:val="24"/>
          <w:szCs w:val="24"/>
          <w:lang w:val="en-GB"/>
        </w:rPr>
        <w:t xml:space="preserve">, 2015: 24-25; </w:t>
      </w:r>
      <w:proofErr w:type="spellStart"/>
      <w:r w:rsidRPr="0062026B">
        <w:rPr>
          <w:rFonts w:asciiTheme="majorHAnsi" w:hAnsiTheme="majorHAnsi"/>
          <w:sz w:val="24"/>
          <w:szCs w:val="24"/>
          <w:lang w:val="en-GB"/>
        </w:rPr>
        <w:t>Quintão</w:t>
      </w:r>
      <w:proofErr w:type="spellEnd"/>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Parente</w:t>
      </w:r>
      <w:proofErr w:type="spellEnd"/>
      <w:r w:rsidRPr="0062026B">
        <w:rPr>
          <w:rFonts w:asciiTheme="majorHAnsi" w:hAnsiTheme="majorHAnsi"/>
          <w:sz w:val="24"/>
          <w:szCs w:val="24"/>
          <w:lang w:val="en-GB"/>
        </w:rPr>
        <w:t>, 2015: 54</w:t>
      </w:r>
      <w:r w:rsidR="004F20B1">
        <w:rPr>
          <w:rFonts w:asciiTheme="majorHAnsi" w:hAnsiTheme="majorHAnsi"/>
          <w:sz w:val="24"/>
          <w:szCs w:val="24"/>
          <w:lang w:val="en-GB"/>
        </w:rPr>
        <w:t>-6). Such limitation calls for “multidimensional”</w:t>
      </w:r>
      <w:r w:rsidRPr="0062026B">
        <w:rPr>
          <w:rFonts w:asciiTheme="majorHAnsi" w:hAnsiTheme="majorHAnsi"/>
          <w:sz w:val="24"/>
          <w:szCs w:val="24"/>
          <w:lang w:val="en-GB"/>
        </w:rPr>
        <w:t xml:space="preserve"> perspectives on social entrepreneurship (Mort, </w:t>
      </w:r>
      <w:proofErr w:type="spellStart"/>
      <w:r w:rsidRPr="0062026B">
        <w:rPr>
          <w:rFonts w:asciiTheme="majorHAnsi" w:hAnsiTheme="majorHAnsi"/>
          <w:sz w:val="24"/>
          <w:szCs w:val="24"/>
          <w:lang w:val="en-GB"/>
        </w:rPr>
        <w:t>Weerawardena</w:t>
      </w:r>
      <w:proofErr w:type="spellEnd"/>
      <w:r w:rsidRPr="0062026B">
        <w:rPr>
          <w:rFonts w:asciiTheme="majorHAnsi" w:hAnsiTheme="majorHAnsi"/>
          <w:sz w:val="24"/>
          <w:szCs w:val="24"/>
          <w:lang w:val="en-GB"/>
        </w:rPr>
        <w:t xml:space="preserve"> and Carneg</w:t>
      </w:r>
      <w:r w:rsidR="004F20B1">
        <w:rPr>
          <w:rFonts w:asciiTheme="majorHAnsi" w:hAnsiTheme="majorHAnsi"/>
          <w:sz w:val="24"/>
          <w:szCs w:val="24"/>
          <w:lang w:val="en-GB"/>
        </w:rPr>
        <w:t>ie, 2003). I hereby suggest an “embedment”</w:t>
      </w:r>
      <w:r w:rsidRPr="0062026B">
        <w:rPr>
          <w:rFonts w:asciiTheme="majorHAnsi" w:hAnsiTheme="majorHAnsi"/>
          <w:sz w:val="24"/>
          <w:szCs w:val="24"/>
          <w:lang w:val="en-GB"/>
        </w:rPr>
        <w:t xml:space="preserve"> approach, which contextualizes initiatives in a framework that connects ecology, the political and institutional dimension and the social and cultural capital of stakeholders the actors that take part in them. Such approach focuses on the role such connections plays in the development of strategies of economic and social sustainability. Economic sustainability is hereby defined as the capacity to mobilize the material and financial resources necessary for the organization to sustain the structure and dynamics necessary for the pursuit of its mission.  Social sustainability is conceptualized as the capacity to balance the interests of multiple stakeholders, human and non-human and further the social purpose of the organization in the face of complexity (Op.cit, </w:t>
      </w:r>
      <w:proofErr w:type="spellStart"/>
      <w:r w:rsidRPr="0062026B">
        <w:rPr>
          <w:rFonts w:asciiTheme="majorHAnsi" w:hAnsiTheme="majorHAnsi"/>
          <w:sz w:val="24"/>
          <w:szCs w:val="24"/>
          <w:lang w:val="en-GB"/>
        </w:rPr>
        <w:t>Amaro</w:t>
      </w:r>
      <w:proofErr w:type="spellEnd"/>
      <w:r w:rsidRPr="0062026B">
        <w:rPr>
          <w:rFonts w:asciiTheme="majorHAnsi" w:hAnsiTheme="majorHAnsi"/>
          <w:sz w:val="24"/>
          <w:szCs w:val="24"/>
          <w:lang w:val="en-GB"/>
        </w:rPr>
        <w:t xml:space="preserve">, 2010). </w:t>
      </w:r>
    </w:p>
    <w:p w:rsidR="00B12145" w:rsidRPr="00AD0B61" w:rsidRDefault="00B12145" w:rsidP="00AD0B61">
      <w:pPr>
        <w:pStyle w:val="Paragraphedeliste"/>
        <w:numPr>
          <w:ilvl w:val="1"/>
          <w:numId w:val="3"/>
        </w:numPr>
        <w:spacing w:line="276" w:lineRule="auto"/>
        <w:ind w:right="-489"/>
        <w:jc w:val="both"/>
        <w:rPr>
          <w:rFonts w:asciiTheme="majorHAnsi" w:hAnsiTheme="majorHAnsi"/>
          <w:sz w:val="24"/>
          <w:szCs w:val="24"/>
          <w:lang w:val="en-GB"/>
        </w:rPr>
      </w:pPr>
      <w:proofErr w:type="spellStart"/>
      <w:r w:rsidRPr="00AD0B61">
        <w:rPr>
          <w:rFonts w:asciiTheme="majorHAnsi" w:hAnsiTheme="majorHAnsi"/>
          <w:b/>
          <w:sz w:val="24"/>
          <w:szCs w:val="24"/>
          <w:lang w:val="en-GB"/>
        </w:rPr>
        <w:t>Ecovil</w:t>
      </w:r>
      <w:r w:rsidR="00060F70">
        <w:rPr>
          <w:rFonts w:asciiTheme="majorHAnsi" w:hAnsiTheme="majorHAnsi"/>
          <w:b/>
          <w:sz w:val="24"/>
          <w:szCs w:val="24"/>
          <w:lang w:val="en-GB"/>
        </w:rPr>
        <w:t>lages</w:t>
      </w:r>
      <w:proofErr w:type="spellEnd"/>
      <w:r w:rsidR="00060F70">
        <w:rPr>
          <w:rFonts w:asciiTheme="majorHAnsi" w:hAnsiTheme="majorHAnsi"/>
          <w:b/>
          <w:sz w:val="24"/>
          <w:szCs w:val="24"/>
          <w:lang w:val="en-GB"/>
        </w:rPr>
        <w:t xml:space="preserve"> and the post-materialist “</w:t>
      </w:r>
      <w:proofErr w:type="spellStart"/>
      <w:r w:rsidR="00060F70">
        <w:rPr>
          <w:rFonts w:asciiTheme="majorHAnsi" w:hAnsiTheme="majorHAnsi"/>
          <w:b/>
          <w:sz w:val="24"/>
          <w:szCs w:val="24"/>
          <w:lang w:val="en-GB"/>
        </w:rPr>
        <w:t>habitus</w:t>
      </w:r>
      <w:proofErr w:type="spellEnd"/>
      <w:r w:rsidR="00060F70">
        <w:rPr>
          <w:rFonts w:asciiTheme="majorHAnsi" w:hAnsiTheme="majorHAnsi"/>
          <w:b/>
          <w:sz w:val="24"/>
          <w:szCs w:val="24"/>
          <w:lang w:val="en-GB"/>
        </w:rPr>
        <w:t>”</w:t>
      </w:r>
      <w:r w:rsidRPr="00AD0B61">
        <w:rPr>
          <w:rFonts w:asciiTheme="majorHAnsi" w:hAnsiTheme="majorHAnsi"/>
          <w:b/>
          <w:sz w:val="24"/>
          <w:szCs w:val="24"/>
          <w:lang w:val="en-GB"/>
        </w:rPr>
        <w:t xml:space="preserve"> of </w:t>
      </w:r>
      <w:proofErr w:type="spellStart"/>
      <w:r w:rsidRPr="00AD0B61">
        <w:rPr>
          <w:rFonts w:asciiTheme="majorHAnsi" w:hAnsiTheme="majorHAnsi"/>
          <w:b/>
          <w:sz w:val="24"/>
          <w:szCs w:val="24"/>
          <w:lang w:val="en-GB"/>
        </w:rPr>
        <w:t>postmodernity</w:t>
      </w:r>
      <w:proofErr w:type="spellEnd"/>
    </w:p>
    <w:p w:rsidR="00B12145" w:rsidRPr="0062026B" w:rsidRDefault="00B12145" w:rsidP="0048625F">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lang w:val="en-GB"/>
        </w:rPr>
        <w:t xml:space="preserve">The multiplication of </w:t>
      </w: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xml:space="preserve"> in recent decades can be interpreted as the result of the emergence, among sectors of the upper and middle classes of industrialized countries, of a set of post-materialist va</w:t>
      </w:r>
      <w:r w:rsidR="00060F70">
        <w:rPr>
          <w:rFonts w:asciiTheme="majorHAnsi" w:hAnsiTheme="majorHAnsi"/>
          <w:sz w:val="24"/>
          <w:szCs w:val="24"/>
          <w:lang w:val="en-GB"/>
        </w:rPr>
        <w:t>lues which indicate a changing “</w:t>
      </w:r>
      <w:proofErr w:type="spellStart"/>
      <w:r w:rsidR="00060F70">
        <w:rPr>
          <w:rFonts w:asciiTheme="majorHAnsi" w:hAnsiTheme="majorHAnsi"/>
          <w:sz w:val="24"/>
          <w:szCs w:val="24"/>
          <w:lang w:val="en-GB"/>
        </w:rPr>
        <w:t>habitus</w:t>
      </w:r>
      <w:proofErr w:type="spellEnd"/>
      <w:r w:rsidR="00060F70">
        <w:rPr>
          <w:rFonts w:asciiTheme="majorHAnsi" w:hAnsiTheme="majorHAnsi"/>
          <w:sz w:val="24"/>
          <w:szCs w:val="24"/>
          <w:lang w:val="en-GB"/>
        </w:rPr>
        <w:t>”</w:t>
      </w:r>
      <w:r w:rsidRPr="0062026B">
        <w:rPr>
          <w:rFonts w:asciiTheme="majorHAnsi" w:hAnsiTheme="majorHAnsi"/>
          <w:sz w:val="24"/>
          <w:szCs w:val="24"/>
          <w:lang w:val="en-GB"/>
        </w:rPr>
        <w:t xml:space="preserve">, resulting from what </w:t>
      </w:r>
      <w:proofErr w:type="spellStart"/>
      <w:r w:rsidRPr="0062026B">
        <w:rPr>
          <w:rFonts w:asciiTheme="majorHAnsi" w:hAnsiTheme="majorHAnsi"/>
          <w:sz w:val="24"/>
          <w:szCs w:val="24"/>
          <w:lang w:val="en-GB"/>
        </w:rPr>
        <w:t>Inglehart</w:t>
      </w:r>
      <w:proofErr w:type="spellEnd"/>
      <w:r w:rsidRPr="0062026B">
        <w:rPr>
          <w:rFonts w:asciiTheme="majorHAnsi" w:hAnsiTheme="majorHAnsi"/>
          <w:sz w:val="24"/>
          <w:szCs w:val="24"/>
          <w:lang w:val="en-GB"/>
        </w:rPr>
        <w:t xml:space="preserve"> (1997) calls a p</w:t>
      </w:r>
      <w:r w:rsidR="004F20B1">
        <w:rPr>
          <w:rFonts w:asciiTheme="majorHAnsi" w:hAnsiTheme="majorHAnsi"/>
          <w:sz w:val="24"/>
          <w:szCs w:val="24"/>
          <w:lang w:val="en-GB"/>
        </w:rPr>
        <w:t>rocess of “</w:t>
      </w:r>
      <w:proofErr w:type="spellStart"/>
      <w:r w:rsidR="004F20B1">
        <w:rPr>
          <w:rFonts w:asciiTheme="majorHAnsi" w:hAnsiTheme="majorHAnsi"/>
          <w:sz w:val="24"/>
          <w:szCs w:val="24"/>
          <w:lang w:val="en-GB"/>
        </w:rPr>
        <w:t>postmodernization</w:t>
      </w:r>
      <w:proofErr w:type="spellEnd"/>
      <w:r w:rsidR="004F20B1">
        <w:rPr>
          <w:rFonts w:asciiTheme="majorHAnsi" w:hAnsiTheme="majorHAnsi"/>
          <w:sz w:val="24"/>
          <w:szCs w:val="24"/>
          <w:lang w:val="en-GB"/>
        </w:rPr>
        <w:t>”</w:t>
      </w:r>
      <w:r w:rsidRPr="0062026B">
        <w:rPr>
          <w:rFonts w:asciiTheme="majorHAnsi" w:hAnsiTheme="majorHAnsi"/>
          <w:sz w:val="24"/>
          <w:szCs w:val="24"/>
          <w:lang w:val="en-GB"/>
        </w:rPr>
        <w:t xml:space="preserve">. The author claims that, as modernization helped industrialized societies move from poverty to economic security, this led to a shift in life goals from survival and material security towards self-actualization and quality of life. </w:t>
      </w:r>
      <w:proofErr w:type="spellStart"/>
      <w:r w:rsidRPr="0062026B">
        <w:rPr>
          <w:rFonts w:asciiTheme="majorHAnsi" w:hAnsiTheme="majorHAnsi"/>
          <w:sz w:val="24"/>
          <w:szCs w:val="24"/>
          <w:lang w:val="en-GB"/>
        </w:rPr>
        <w:t>Inglehart</w:t>
      </w:r>
      <w:proofErr w:type="spellEnd"/>
      <w:r w:rsidRPr="0062026B">
        <w:rPr>
          <w:rFonts w:asciiTheme="majorHAnsi" w:hAnsiTheme="majorHAnsi"/>
          <w:sz w:val="24"/>
          <w:szCs w:val="24"/>
          <w:lang w:val="en-GB"/>
        </w:rPr>
        <w:t xml:space="preserve"> found these values to be most prevalent, and cross-nationally consistent, among the more highly educated, more articulate generations that grew up with affluence and choice in Western Europe and North America during the late 20</w:t>
      </w:r>
      <w:r w:rsidRPr="0062026B">
        <w:rPr>
          <w:rFonts w:asciiTheme="majorHAnsi" w:hAnsiTheme="majorHAnsi"/>
          <w:sz w:val="24"/>
          <w:szCs w:val="24"/>
          <w:vertAlign w:val="superscript"/>
          <w:lang w:val="en-GB"/>
        </w:rPr>
        <w:t>th</w:t>
      </w:r>
      <w:r w:rsidRPr="0062026B">
        <w:rPr>
          <w:rFonts w:asciiTheme="majorHAnsi" w:hAnsiTheme="majorHAnsi"/>
          <w:sz w:val="24"/>
          <w:szCs w:val="24"/>
          <w:lang w:val="en-GB"/>
        </w:rPr>
        <w:t xml:space="preserve"> century. The experience of being socialized into material affluence and high cultural capital, while confronted with mounting evidence of undesirable social and environmental side effects, contributes significantly to a shift in priorities from purely material goals towards self-actualization (Berman, 1988; </w:t>
      </w:r>
      <w:proofErr w:type="spellStart"/>
      <w:r w:rsidRPr="0062026B">
        <w:rPr>
          <w:rFonts w:asciiTheme="majorHAnsi" w:hAnsiTheme="majorHAnsi"/>
          <w:sz w:val="24"/>
          <w:szCs w:val="24"/>
          <w:lang w:val="en-GB"/>
        </w:rPr>
        <w:t>Tibbs</w:t>
      </w:r>
      <w:proofErr w:type="spellEnd"/>
      <w:r w:rsidRPr="0062026B">
        <w:rPr>
          <w:rFonts w:asciiTheme="majorHAnsi" w:hAnsiTheme="majorHAnsi"/>
          <w:sz w:val="24"/>
          <w:szCs w:val="24"/>
          <w:lang w:val="en-GB"/>
        </w:rPr>
        <w:t>, 2011). It also tends to promote a mistrust of traditional sources of spiritual, political and cultural authority, as well as an alignment of consumer and lifestyle choices with progressive, ecological and anti-big business values (Ray and Anderson, 2000). Recent research on consumer behaviour in the industrialized world found that these social sectors are also characterized by cosmopolitanism and concerns for the impact of consumer choices on environmental sustainability, intersectional equity and economic justice. They also tend to be at ease in the use of communication technologies and social networks (</w:t>
      </w:r>
      <w:proofErr w:type="spellStart"/>
      <w:r w:rsidRPr="0062026B">
        <w:rPr>
          <w:rFonts w:asciiTheme="majorHAnsi" w:hAnsiTheme="majorHAnsi"/>
          <w:sz w:val="24"/>
          <w:szCs w:val="24"/>
          <w:lang w:val="en-GB"/>
        </w:rPr>
        <w:t>Carfagna</w:t>
      </w:r>
      <w:proofErr w:type="spellEnd"/>
      <w:r w:rsidRPr="0062026B">
        <w:rPr>
          <w:rFonts w:asciiTheme="majorHAnsi" w:hAnsiTheme="majorHAnsi"/>
          <w:sz w:val="24"/>
          <w:szCs w:val="24"/>
          <w:lang w:val="en-GB"/>
        </w:rPr>
        <w:t xml:space="preserve"> et al., 20</w:t>
      </w:r>
      <w:r w:rsidR="00060F70">
        <w:rPr>
          <w:rFonts w:asciiTheme="majorHAnsi" w:hAnsiTheme="majorHAnsi"/>
          <w:sz w:val="24"/>
          <w:szCs w:val="24"/>
          <w:lang w:val="en-GB"/>
        </w:rPr>
        <w:t>14). Implicit in this changing “</w:t>
      </w:r>
      <w:proofErr w:type="spellStart"/>
      <w:r w:rsidR="00060F70">
        <w:rPr>
          <w:rFonts w:asciiTheme="majorHAnsi" w:hAnsiTheme="majorHAnsi"/>
          <w:sz w:val="24"/>
          <w:szCs w:val="24"/>
          <w:lang w:val="en-GB"/>
        </w:rPr>
        <w:t>habitus</w:t>
      </w:r>
      <w:proofErr w:type="spellEnd"/>
      <w:r w:rsidR="00060F70">
        <w:rPr>
          <w:rFonts w:asciiTheme="majorHAnsi" w:hAnsiTheme="majorHAnsi"/>
          <w:sz w:val="24"/>
          <w:szCs w:val="24"/>
          <w:lang w:val="en-GB"/>
        </w:rPr>
        <w:t>”</w:t>
      </w:r>
      <w:r w:rsidRPr="0062026B">
        <w:rPr>
          <w:rFonts w:asciiTheme="majorHAnsi" w:hAnsiTheme="majorHAnsi"/>
          <w:sz w:val="24"/>
          <w:szCs w:val="24"/>
          <w:lang w:val="en-GB"/>
        </w:rPr>
        <w:t xml:space="preserve"> is the search for a worldview and action model that represents an alternative to the logics of instrumentality </w:t>
      </w:r>
      <w:r w:rsidRPr="0062026B">
        <w:rPr>
          <w:rFonts w:asciiTheme="majorHAnsi" w:hAnsiTheme="majorHAnsi"/>
          <w:sz w:val="24"/>
          <w:szCs w:val="24"/>
          <w:lang w:val="en-GB"/>
        </w:rPr>
        <w:lastRenderedPageBreak/>
        <w:t xml:space="preserve">and domination that underlie modernity (Buell, 2001; </w:t>
      </w:r>
      <w:proofErr w:type="spellStart"/>
      <w:r w:rsidRPr="0062026B">
        <w:rPr>
          <w:rFonts w:asciiTheme="majorHAnsi" w:hAnsiTheme="majorHAnsi"/>
          <w:sz w:val="24"/>
          <w:szCs w:val="24"/>
          <w:lang w:val="en-GB"/>
        </w:rPr>
        <w:t>Tibbs</w:t>
      </w:r>
      <w:proofErr w:type="spellEnd"/>
      <w:r w:rsidRPr="0062026B">
        <w:rPr>
          <w:rFonts w:asciiTheme="majorHAnsi" w:hAnsiTheme="majorHAnsi"/>
          <w:sz w:val="24"/>
          <w:szCs w:val="24"/>
          <w:lang w:val="en-GB"/>
        </w:rPr>
        <w:t>, 2011). However, there is evidence that even in economic spaces that consciously attempt to create social relations that reject dominant logics of hierarchy and power, the presence of a large cohort</w:t>
      </w:r>
      <w:r w:rsidR="004F20B1">
        <w:rPr>
          <w:rFonts w:asciiTheme="majorHAnsi" w:hAnsiTheme="majorHAnsi"/>
          <w:sz w:val="24"/>
          <w:szCs w:val="24"/>
          <w:lang w:val="en-GB"/>
        </w:rPr>
        <w:t xml:space="preserve"> of individuals who share such “</w:t>
      </w:r>
      <w:proofErr w:type="spellStart"/>
      <w:r w:rsidR="004F20B1">
        <w:rPr>
          <w:rFonts w:asciiTheme="majorHAnsi" w:hAnsiTheme="majorHAnsi"/>
          <w:sz w:val="24"/>
          <w:szCs w:val="24"/>
          <w:lang w:val="en-GB"/>
        </w:rPr>
        <w:t>habitus</w:t>
      </w:r>
      <w:proofErr w:type="spellEnd"/>
      <w:r w:rsidR="004F20B1">
        <w:rPr>
          <w:rFonts w:asciiTheme="majorHAnsi" w:hAnsiTheme="majorHAnsi"/>
          <w:sz w:val="24"/>
          <w:szCs w:val="24"/>
          <w:lang w:val="en-GB"/>
        </w:rPr>
        <w:t>”</w:t>
      </w:r>
      <w:r w:rsidRPr="0062026B">
        <w:rPr>
          <w:rFonts w:asciiTheme="majorHAnsi" w:hAnsiTheme="majorHAnsi"/>
          <w:sz w:val="24"/>
          <w:szCs w:val="24"/>
          <w:lang w:val="en-GB"/>
        </w:rPr>
        <w:t xml:space="preserve"> reproduces inequalities existing in the larger macro-economy, as they tend to be recruited through their social connections or through information available on the internet (</w:t>
      </w:r>
      <w:proofErr w:type="spellStart"/>
      <w:r w:rsidRPr="0062026B">
        <w:rPr>
          <w:rFonts w:asciiTheme="majorHAnsi" w:hAnsiTheme="majorHAnsi"/>
          <w:sz w:val="24"/>
          <w:szCs w:val="24"/>
          <w:lang w:val="en-GB"/>
        </w:rPr>
        <w:t>Schor</w:t>
      </w:r>
      <w:proofErr w:type="spellEnd"/>
      <w:r w:rsidRPr="0062026B">
        <w:rPr>
          <w:rFonts w:asciiTheme="majorHAnsi" w:hAnsiTheme="majorHAnsi"/>
          <w:sz w:val="24"/>
          <w:szCs w:val="24"/>
          <w:lang w:val="en-GB"/>
        </w:rPr>
        <w:t xml:space="preserve"> et al, 2016).</w:t>
      </w:r>
    </w:p>
    <w:p w:rsidR="00B12145" w:rsidRPr="0062026B" w:rsidRDefault="00B12145" w:rsidP="008D423C">
      <w:pPr>
        <w:spacing w:beforeLines="1" w:afterLines="1" w:line="276" w:lineRule="auto"/>
        <w:jc w:val="both"/>
        <w:rPr>
          <w:rFonts w:asciiTheme="majorHAnsi" w:hAnsiTheme="majorHAnsi"/>
          <w:sz w:val="24"/>
          <w:szCs w:val="24"/>
          <w:lang w:val="en-GB"/>
        </w:rPr>
      </w:pPr>
    </w:p>
    <w:p w:rsidR="003F3AAC" w:rsidRDefault="00B12145" w:rsidP="008D423C">
      <w:pPr>
        <w:pStyle w:val="Paragraphedeliste"/>
        <w:numPr>
          <w:ilvl w:val="0"/>
          <w:numId w:val="3"/>
        </w:numPr>
        <w:spacing w:beforeLines="1" w:afterLines="1" w:line="276" w:lineRule="auto"/>
        <w:ind w:right="-489"/>
        <w:jc w:val="both"/>
        <w:rPr>
          <w:rFonts w:asciiTheme="majorHAnsi" w:hAnsiTheme="majorHAnsi"/>
          <w:b/>
          <w:sz w:val="24"/>
          <w:szCs w:val="24"/>
          <w:lang w:val="en-GB"/>
        </w:rPr>
      </w:pPr>
      <w:r w:rsidRPr="00AD0B61">
        <w:rPr>
          <w:rFonts w:asciiTheme="majorHAnsi" w:hAnsiTheme="majorHAnsi"/>
          <w:b/>
          <w:sz w:val="24"/>
          <w:szCs w:val="24"/>
          <w:lang w:val="en-GB"/>
        </w:rPr>
        <w:t>Tamera: Community building and ecosystem regeneration</w:t>
      </w:r>
    </w:p>
    <w:p w:rsidR="00B12145" w:rsidRPr="003F3AAC" w:rsidRDefault="00B12145" w:rsidP="008D423C">
      <w:pPr>
        <w:pStyle w:val="Paragraphedeliste"/>
        <w:spacing w:beforeLines="1" w:afterLines="1" w:line="276" w:lineRule="auto"/>
        <w:ind w:right="-489"/>
        <w:jc w:val="both"/>
        <w:rPr>
          <w:rFonts w:asciiTheme="majorHAnsi" w:hAnsiTheme="majorHAnsi"/>
          <w:b/>
          <w:sz w:val="24"/>
          <w:szCs w:val="24"/>
          <w:lang w:val="en-GB"/>
        </w:rPr>
      </w:pPr>
    </w:p>
    <w:p w:rsidR="00B12145" w:rsidRPr="00AD0B61" w:rsidRDefault="00B12145" w:rsidP="00AD0B61">
      <w:pPr>
        <w:pStyle w:val="Paragraphedeliste"/>
        <w:numPr>
          <w:ilvl w:val="1"/>
          <w:numId w:val="3"/>
        </w:numPr>
        <w:jc w:val="both"/>
        <w:rPr>
          <w:rFonts w:asciiTheme="majorHAnsi" w:hAnsiTheme="majorHAnsi"/>
          <w:b/>
          <w:sz w:val="24"/>
          <w:szCs w:val="24"/>
        </w:rPr>
      </w:pPr>
      <w:r w:rsidRPr="00AD0B61">
        <w:rPr>
          <w:rFonts w:asciiTheme="majorHAnsi" w:hAnsiTheme="majorHAnsi"/>
          <w:b/>
          <w:sz w:val="24"/>
          <w:szCs w:val="24"/>
        </w:rPr>
        <w:t>Internal governance: The role of “</w:t>
      </w:r>
      <w:proofErr w:type="spellStart"/>
      <w:r w:rsidRPr="00AD0B61">
        <w:rPr>
          <w:rFonts w:asciiTheme="majorHAnsi" w:hAnsiTheme="majorHAnsi"/>
          <w:b/>
          <w:sz w:val="24"/>
          <w:szCs w:val="24"/>
        </w:rPr>
        <w:t>Selbsdarstellung</w:t>
      </w:r>
      <w:proofErr w:type="spellEnd"/>
      <w:r w:rsidRPr="00AD0B61">
        <w:rPr>
          <w:rFonts w:asciiTheme="majorHAnsi" w:hAnsiTheme="majorHAnsi"/>
          <w:b/>
          <w:sz w:val="24"/>
          <w:szCs w:val="24"/>
        </w:rPr>
        <w:t>” Forum</w:t>
      </w:r>
    </w:p>
    <w:p w:rsidR="00B12145" w:rsidRDefault="00B12145" w:rsidP="0097351E">
      <w:pPr>
        <w:ind w:left="-284"/>
        <w:contextualSpacing/>
        <w:jc w:val="both"/>
        <w:rPr>
          <w:rFonts w:asciiTheme="majorHAnsi" w:eastAsia="Cambria" w:hAnsiTheme="majorHAnsi" w:cs="Times New Roman"/>
          <w:sz w:val="24"/>
          <w:szCs w:val="24"/>
        </w:rPr>
      </w:pPr>
      <w:r w:rsidRPr="0062026B">
        <w:rPr>
          <w:rFonts w:asciiTheme="majorHAnsi" w:eastAsia="Cambria" w:hAnsiTheme="majorHAnsi" w:cs="Times New Roman"/>
          <w:sz w:val="24"/>
          <w:szCs w:val="24"/>
        </w:rPr>
        <w:t>The core social technology</w:t>
      </w:r>
      <w:r w:rsidR="003F3AAC">
        <w:rPr>
          <w:rFonts w:asciiTheme="majorHAnsi" w:eastAsia="Cambria" w:hAnsiTheme="majorHAnsi" w:cs="Times New Roman"/>
          <w:sz w:val="24"/>
          <w:szCs w:val="24"/>
        </w:rPr>
        <w:t xml:space="preserve"> used in Tamera for internal governance</w:t>
      </w:r>
      <w:r w:rsidRPr="0062026B">
        <w:rPr>
          <w:rFonts w:asciiTheme="majorHAnsi" w:eastAsia="Cambria" w:hAnsiTheme="majorHAnsi" w:cs="Times New Roman"/>
          <w:sz w:val="24"/>
          <w:szCs w:val="24"/>
        </w:rPr>
        <w:t xml:space="preserve"> is the “</w:t>
      </w:r>
      <w:proofErr w:type="spellStart"/>
      <w:r w:rsidRPr="0062026B">
        <w:rPr>
          <w:rFonts w:asciiTheme="majorHAnsi" w:eastAsia="Cambria" w:hAnsiTheme="majorHAnsi" w:cs="Times New Roman"/>
          <w:sz w:val="24"/>
          <w:szCs w:val="24"/>
        </w:rPr>
        <w:t>Selbstdarstellung</w:t>
      </w:r>
      <w:proofErr w:type="spellEnd"/>
      <w:r w:rsidRPr="0062026B">
        <w:rPr>
          <w:rFonts w:asciiTheme="majorHAnsi" w:eastAsia="Cambria" w:hAnsiTheme="majorHAnsi" w:cs="Times New Roman"/>
          <w:sz w:val="24"/>
          <w:szCs w:val="24"/>
        </w:rPr>
        <w:t xml:space="preserve"> Forum” (Self Expression or SD Forum), partially based on Wilhelm Reich’s “body armor” theory (Richter, 1990). The goal of SD Forum is to promote trust and transparency among community members, through a process of “de-privatization” of issues related with personal identity, human relationships, emotions, power and competition (Op. cit.). That happens through the inclusion of individuals in dialogical circles, in which intimacy and cooperation is created around these topics. </w:t>
      </w:r>
      <w:r w:rsidRPr="0062026B">
        <w:rPr>
          <w:rFonts w:asciiTheme="majorHAnsi" w:hAnsiTheme="majorHAnsi"/>
          <w:sz w:val="24"/>
          <w:szCs w:val="24"/>
        </w:rPr>
        <w:t>Through this method, participants combine reasoning-based verbal communication and spontaneous physical and emotional performance through song, talk, gesture or mime to convey social situations, as well as thoughts, emotions, attitudes and steps of inner development. The Forum facilitator moderates the process and contributes with information that synthesizes what has been previous shared in the middle and supports the performer in taking new steps in inner growth, trying new roles or solving a conflict situation (</w:t>
      </w:r>
      <w:r w:rsidRPr="0062026B">
        <w:rPr>
          <w:rFonts w:asciiTheme="majorHAnsi" w:hAnsiTheme="majorHAnsi"/>
          <w:i/>
          <w:sz w:val="24"/>
          <w:szCs w:val="24"/>
        </w:rPr>
        <w:t>Op. cit.</w:t>
      </w:r>
      <w:r w:rsidRPr="0062026B">
        <w:rPr>
          <w:rFonts w:asciiTheme="majorHAnsi" w:hAnsiTheme="majorHAnsi"/>
          <w:sz w:val="24"/>
          <w:szCs w:val="24"/>
        </w:rPr>
        <w:t>). The performer is given tools and encouragement to step out of personal identification with the issue being performed and represent it as an aspect of a “global phenomenon” of which the specific situation is part. The other participants are then invited to provide “mirrors”, in which they express aspects of the situation they saw that might not be conscious to the person performing it. However, as they give feedback, they should step out of personal identification with the situation being performed, as well as with the relationship they might have with the performer.</w:t>
      </w:r>
      <w:r w:rsidRPr="0062026B">
        <w:rPr>
          <w:rFonts w:asciiTheme="majorHAnsi" w:eastAsia="Cambria" w:hAnsiTheme="majorHAnsi" w:cs="Times New Roman"/>
          <w:sz w:val="24"/>
          <w:szCs w:val="24"/>
        </w:rPr>
        <w:t xml:space="preserve"> The role of Forum facilitator is attributed to people recognized as having accumulated significant experience and skills in the handling of human questions. </w:t>
      </w:r>
    </w:p>
    <w:p w:rsidR="00F67C61" w:rsidRPr="0062026B" w:rsidRDefault="00F67C61" w:rsidP="00E913A1">
      <w:pPr>
        <w:ind w:left="-284" w:firstLine="710"/>
        <w:contextualSpacing/>
        <w:jc w:val="both"/>
        <w:rPr>
          <w:rFonts w:asciiTheme="majorHAnsi" w:eastAsia="Cambria" w:hAnsiTheme="majorHAnsi" w:cs="Times New Roman"/>
          <w:sz w:val="24"/>
          <w:szCs w:val="24"/>
        </w:rPr>
      </w:pPr>
    </w:p>
    <w:p w:rsidR="00A964F9" w:rsidRDefault="00B12145" w:rsidP="00A964F9">
      <w:pPr>
        <w:ind w:left="-284"/>
        <w:contextualSpacing/>
        <w:jc w:val="both"/>
        <w:rPr>
          <w:rFonts w:asciiTheme="majorHAnsi" w:hAnsiTheme="majorHAnsi"/>
          <w:sz w:val="24"/>
          <w:szCs w:val="24"/>
        </w:rPr>
      </w:pPr>
      <w:r w:rsidRPr="0062026B">
        <w:rPr>
          <w:rFonts w:asciiTheme="majorHAnsi" w:hAnsiTheme="majorHAnsi"/>
          <w:sz w:val="24"/>
          <w:szCs w:val="24"/>
        </w:rPr>
        <w:t xml:space="preserve">The purpose of this social technology is to promote dynamics of mutual witnessing and accountability through individual and collective self-reflexivity on everyday lived experience. Its aim is to make inner questions and social situations transparent, so that they can be worked on collectively. SD Forum also serves as a methodology for individual and collective self-reflective research and learning about the embodied, everyday experience of living in community. Besides, it sustains decision-making processes by giving all members the opportunity to contribute directly, as well as clarifying and solving inherent human conflicts. This process prevents the formation of a psychological and social “shadow”, as community members have the incentive to make transparent aspects of their inner and social lives that, according to the norms of mainstream society, as well as of Tamera, would be detrimental to their reputation and social standing. Part of this process implies becoming public about inner </w:t>
      </w:r>
      <w:r w:rsidRPr="0062026B">
        <w:rPr>
          <w:rFonts w:asciiTheme="majorHAnsi" w:hAnsiTheme="majorHAnsi"/>
          <w:sz w:val="24"/>
          <w:szCs w:val="24"/>
        </w:rPr>
        <w:lastRenderedPageBreak/>
        <w:t xml:space="preserve">tendencies and social situations that may contain elements of deception, distorted communication, competition, jealousy, hierarchy, hoarding or free riding. This is done in a way aimed at neutralizing the potential for conflict within the inner question or social situation, turning it into an opportunity for collective learning and for the strengthening of social cohesion. The ultimate goal is to bring subconscious motivations to the conscious level, so that conscious reasoning may guide individual and collective decision-making. </w:t>
      </w:r>
    </w:p>
    <w:p w:rsidR="00A964F9" w:rsidRDefault="00A964F9" w:rsidP="00A964F9">
      <w:pPr>
        <w:ind w:left="-284"/>
        <w:contextualSpacing/>
        <w:jc w:val="both"/>
        <w:rPr>
          <w:rFonts w:asciiTheme="majorHAnsi" w:hAnsiTheme="majorHAnsi"/>
          <w:sz w:val="24"/>
          <w:szCs w:val="24"/>
        </w:rPr>
      </w:pPr>
    </w:p>
    <w:p w:rsidR="00B12145" w:rsidRPr="00510229" w:rsidRDefault="00B12145" w:rsidP="00A964F9">
      <w:pPr>
        <w:ind w:left="-284"/>
        <w:contextualSpacing/>
        <w:jc w:val="both"/>
        <w:rPr>
          <w:rFonts w:asciiTheme="majorHAnsi" w:hAnsiTheme="majorHAnsi"/>
          <w:sz w:val="24"/>
          <w:szCs w:val="24"/>
        </w:rPr>
      </w:pPr>
      <w:r w:rsidRPr="0062026B">
        <w:rPr>
          <w:rFonts w:asciiTheme="majorHAnsi" w:hAnsiTheme="majorHAnsi"/>
          <w:sz w:val="24"/>
          <w:szCs w:val="24"/>
        </w:rPr>
        <w:t>Despite such claims, it was not clear whether the self-revelation and the individual and collective “shadow work” that takes place in the Forum contains or reinforces the informal hierarchies within the community. When addressing this topic with community members, whether in the framework of interviews, in informal conversations or in public events, I was often told that the role of the Forum is exactly to be a “protected space” where those topics can be made public and worked. Further research is necessary in order to assess the degree to which Forum leaders may manipulate performances and “mirrors” to serve personal or collective goals, as well as that to which people may resort to self-censorship in order to protect or promote their standing.</w:t>
      </w:r>
    </w:p>
    <w:p w:rsidR="0097351E" w:rsidRPr="00A964F9" w:rsidRDefault="00B12145" w:rsidP="00510229">
      <w:pPr>
        <w:pStyle w:val="Paragraphedeliste"/>
        <w:numPr>
          <w:ilvl w:val="0"/>
          <w:numId w:val="3"/>
        </w:numPr>
        <w:spacing w:line="276" w:lineRule="auto"/>
        <w:ind w:left="0" w:right="-532" w:firstLine="0"/>
        <w:jc w:val="both"/>
        <w:rPr>
          <w:rFonts w:asciiTheme="majorHAnsi" w:hAnsiTheme="majorHAnsi"/>
          <w:b/>
          <w:sz w:val="24"/>
          <w:szCs w:val="24"/>
          <w:lang w:val="en-GB"/>
        </w:rPr>
      </w:pPr>
      <w:r w:rsidRPr="00AD0B61">
        <w:rPr>
          <w:rFonts w:asciiTheme="majorHAnsi" w:hAnsiTheme="majorHAnsi"/>
          <w:b/>
          <w:sz w:val="24"/>
          <w:szCs w:val="24"/>
          <w:lang w:val="en-GB"/>
        </w:rPr>
        <w:t>Economic sustainability through embedment in a global post-materialist community</w:t>
      </w:r>
    </w:p>
    <w:p w:rsidR="005E2ADD" w:rsidRDefault="00B12145" w:rsidP="00A964F9">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lang w:val="en-GB"/>
        </w:rPr>
        <w:t>During a public discussion round that took place in September 2015, a source from the financial team indicated that the total expenses of Tamera amounted to an average of one million Euros per year.  Such expenses are covered by a need-oriented financial strategy that combines for-profit and non-profit aspects. Over 60% of the expenses are covered by the revenues from the educational and training programs of the community, seconded by donations</w:t>
      </w:r>
      <w:r w:rsidR="004F20B1">
        <w:rPr>
          <w:rFonts w:asciiTheme="majorHAnsi" w:hAnsiTheme="majorHAnsi"/>
          <w:sz w:val="24"/>
          <w:szCs w:val="24"/>
          <w:lang w:val="en-GB"/>
        </w:rPr>
        <w:t xml:space="preserve"> raised among an international “Support Circle”</w:t>
      </w:r>
      <w:r w:rsidRPr="0062026B">
        <w:rPr>
          <w:rFonts w:asciiTheme="majorHAnsi" w:hAnsiTheme="majorHAnsi"/>
          <w:sz w:val="24"/>
          <w:szCs w:val="24"/>
          <w:lang w:val="en-GB"/>
        </w:rPr>
        <w:t xml:space="preserve">. </w:t>
      </w:r>
      <w:r w:rsidR="00196B30">
        <w:rPr>
          <w:rFonts w:asciiTheme="majorHAnsi" w:hAnsiTheme="majorHAnsi"/>
          <w:sz w:val="24"/>
          <w:szCs w:val="24"/>
          <w:lang w:val="en-GB"/>
        </w:rPr>
        <w:t>The core</w:t>
      </w:r>
      <w:r w:rsidRPr="0062026B">
        <w:rPr>
          <w:rFonts w:asciiTheme="majorHAnsi" w:hAnsiTheme="majorHAnsi"/>
          <w:sz w:val="24"/>
          <w:szCs w:val="24"/>
          <w:lang w:val="en-GB"/>
        </w:rPr>
        <w:t xml:space="preserve"> field of identification and </w:t>
      </w:r>
      <w:r w:rsidR="004F20B1">
        <w:rPr>
          <w:rFonts w:asciiTheme="majorHAnsi" w:hAnsiTheme="majorHAnsi"/>
          <w:sz w:val="24"/>
          <w:szCs w:val="24"/>
          <w:lang w:val="en-GB"/>
        </w:rPr>
        <w:t xml:space="preserve">recruitment of </w:t>
      </w:r>
      <w:r w:rsidR="00A964F9">
        <w:rPr>
          <w:rFonts w:asciiTheme="majorHAnsi" w:hAnsiTheme="majorHAnsi"/>
          <w:sz w:val="24"/>
          <w:szCs w:val="24"/>
          <w:lang w:val="en-GB"/>
        </w:rPr>
        <w:t xml:space="preserve">funders </w:t>
      </w:r>
      <w:r w:rsidRPr="0062026B">
        <w:rPr>
          <w:rFonts w:asciiTheme="majorHAnsi" w:hAnsiTheme="majorHAnsi"/>
          <w:sz w:val="24"/>
          <w:szCs w:val="24"/>
          <w:lang w:val="en-GB"/>
        </w:rPr>
        <w:t>is the education and training offer of Tamera. All the programs include lectures and ‘study times’ in which the issue of fundraising for Tamera is framed as a contribution to the transition towards a post-carbon and post-capitalist economic system. The section of Tam</w:t>
      </w:r>
      <w:r w:rsidR="004C763D">
        <w:rPr>
          <w:rFonts w:asciiTheme="majorHAnsi" w:hAnsiTheme="majorHAnsi"/>
          <w:sz w:val="24"/>
          <w:szCs w:val="24"/>
          <w:lang w:val="en-GB"/>
        </w:rPr>
        <w:t>era’s website dedicated to the “Support Circle”</w:t>
      </w:r>
      <w:r w:rsidRPr="0062026B">
        <w:rPr>
          <w:rFonts w:asciiTheme="majorHAnsi" w:hAnsiTheme="majorHAnsi"/>
          <w:sz w:val="24"/>
          <w:szCs w:val="24"/>
          <w:lang w:val="en-GB"/>
        </w:rPr>
        <w:t xml:space="preserve"> claims that its mem</w:t>
      </w:r>
      <w:r w:rsidR="004C763D">
        <w:rPr>
          <w:rFonts w:asciiTheme="majorHAnsi" w:hAnsiTheme="majorHAnsi"/>
          <w:sz w:val="24"/>
          <w:szCs w:val="24"/>
          <w:lang w:val="en-GB"/>
        </w:rPr>
        <w:t>bers are granted the status of “</w:t>
      </w:r>
      <w:r w:rsidRPr="0062026B">
        <w:rPr>
          <w:rFonts w:asciiTheme="majorHAnsi" w:hAnsiTheme="majorHAnsi"/>
          <w:sz w:val="24"/>
          <w:szCs w:val="24"/>
          <w:lang w:val="en-GB"/>
        </w:rPr>
        <w:t>(…) guardians of the dream of Tamera and co-carriers of the global peace v</w:t>
      </w:r>
      <w:r w:rsidR="004C763D">
        <w:rPr>
          <w:rFonts w:asciiTheme="majorHAnsi" w:hAnsiTheme="majorHAnsi"/>
          <w:sz w:val="24"/>
          <w:szCs w:val="24"/>
          <w:lang w:val="en-GB"/>
        </w:rPr>
        <w:t>ision.”</w:t>
      </w:r>
      <w:r w:rsidRPr="0062026B">
        <w:rPr>
          <w:rStyle w:val="Appelnotedebasdep"/>
          <w:rFonts w:asciiTheme="majorHAnsi" w:hAnsiTheme="majorHAnsi"/>
          <w:sz w:val="24"/>
          <w:szCs w:val="24"/>
          <w:lang w:val="en-GB"/>
        </w:rPr>
        <w:footnoteReference w:id="2"/>
      </w:r>
      <w:r w:rsidRPr="0062026B">
        <w:rPr>
          <w:rFonts w:asciiTheme="majorHAnsi" w:hAnsiTheme="majorHAnsi"/>
          <w:sz w:val="24"/>
          <w:szCs w:val="24"/>
          <w:lang w:val="en-GB"/>
        </w:rPr>
        <w:t xml:space="preserve"> Instead of interest or profit, the funders of Tamera see their financial investment multiplied in the form of social and symbolic capital, which includes a sense of belonging to the community.</w:t>
      </w:r>
      <w:r w:rsidR="004C763D">
        <w:rPr>
          <w:rFonts w:asciiTheme="majorHAnsi" w:hAnsiTheme="majorHAnsi"/>
          <w:sz w:val="24"/>
          <w:szCs w:val="24"/>
          <w:lang w:val="en-GB"/>
        </w:rPr>
        <w:t>”</w:t>
      </w:r>
      <w:r w:rsidRPr="0062026B">
        <w:rPr>
          <w:rFonts w:asciiTheme="majorHAnsi" w:hAnsiTheme="majorHAnsi"/>
          <w:sz w:val="24"/>
          <w:szCs w:val="24"/>
          <w:lang w:val="en-GB"/>
        </w:rPr>
        <w:t xml:space="preserve">  </w:t>
      </w:r>
    </w:p>
    <w:p w:rsidR="005E2ADD" w:rsidRDefault="005E2ADD" w:rsidP="005E2ADD">
      <w:pPr>
        <w:spacing w:line="276" w:lineRule="auto"/>
        <w:ind w:left="-284"/>
        <w:contextualSpacing/>
        <w:jc w:val="both"/>
        <w:rPr>
          <w:rFonts w:asciiTheme="majorHAnsi" w:hAnsiTheme="majorHAnsi"/>
          <w:sz w:val="24"/>
          <w:szCs w:val="24"/>
          <w:lang w:val="en-GB"/>
        </w:rPr>
      </w:pPr>
    </w:p>
    <w:p w:rsidR="005E2ADD" w:rsidRPr="005E2ADD" w:rsidRDefault="005E2ADD" w:rsidP="005E2ADD">
      <w:pPr>
        <w:spacing w:line="276" w:lineRule="auto"/>
        <w:ind w:left="-284"/>
        <w:contextualSpacing/>
        <w:jc w:val="both"/>
        <w:rPr>
          <w:rFonts w:asciiTheme="majorHAnsi" w:hAnsiTheme="majorHAnsi"/>
          <w:sz w:val="24"/>
          <w:szCs w:val="24"/>
          <w:lang w:val="en-GB"/>
        </w:rPr>
      </w:pPr>
      <w:r w:rsidRPr="005E2ADD">
        <w:rPr>
          <w:rFonts w:asciiTheme="majorHAnsi" w:hAnsiTheme="majorHAnsi" w:cs="Times New Roman"/>
          <w:sz w:val="24"/>
        </w:rPr>
        <w:t>A source from the community’s Guest Office indicated that Tamera was visited by circa 3500 people during 2015, of which more than two-thirds where participants in educational and training programs.</w:t>
      </w:r>
      <w:r w:rsidRPr="005E2ADD">
        <w:rPr>
          <w:rStyle w:val="Appelnotedebasdep"/>
          <w:rFonts w:asciiTheme="majorHAnsi" w:hAnsiTheme="majorHAnsi" w:cs="Times New Roman"/>
          <w:sz w:val="24"/>
        </w:rPr>
        <w:footnoteReference w:id="3"/>
      </w:r>
      <w:r w:rsidRPr="005E2ADD">
        <w:rPr>
          <w:rFonts w:asciiTheme="majorHAnsi" w:hAnsiTheme="majorHAnsi" w:cs="Times New Roman"/>
          <w:sz w:val="24"/>
        </w:rPr>
        <w:t xml:space="preserve"> Although it was not possible to obtain quantitative data on the nationality of visitors during fieldwork, I noticed, during my daily interactions with other guests, that the vast majority of participants in Tamera’s educational and training initiatives </w:t>
      </w:r>
      <w:r w:rsidRPr="005E2ADD">
        <w:rPr>
          <w:rFonts w:asciiTheme="majorHAnsi" w:hAnsiTheme="majorHAnsi" w:cs="Times New Roman"/>
          <w:sz w:val="24"/>
        </w:rPr>
        <w:lastRenderedPageBreak/>
        <w:t xml:space="preserve">came from Germany, Austria and Switzerland, followed by North America and Israel. Community members who work in Tamera´s Guest Office confirmed that this tendency has been constant for more than a decade. Most of these visitors were people whose financial standing, stage in the life cycle or professional life provided them with the financial ease and availability of time necessary to travel to Tamera and stay there for extended periods of time. The most frequent profile of visitor was that of a person experiencing a life transition, taking time off to expand horizons and think about the next step in life after ending a cycle of education, leaving an unsatisfactory job, ending an intimate relationship or entering retirement. Most of these people found out about Tamera from their own social networks, or when searching for information about intentional communities and </w:t>
      </w:r>
      <w:proofErr w:type="spellStart"/>
      <w:r w:rsidRPr="005E2ADD">
        <w:rPr>
          <w:rFonts w:asciiTheme="majorHAnsi" w:hAnsiTheme="majorHAnsi" w:cs="Times New Roman"/>
          <w:sz w:val="24"/>
        </w:rPr>
        <w:t>permaculture</w:t>
      </w:r>
      <w:proofErr w:type="spellEnd"/>
      <w:r w:rsidRPr="005E2ADD">
        <w:rPr>
          <w:rFonts w:asciiTheme="majorHAnsi" w:hAnsiTheme="majorHAnsi" w:cs="Times New Roman"/>
          <w:sz w:val="24"/>
        </w:rPr>
        <w:t xml:space="preserve"> on the internet. The second most frequent profile was that of members of intentional communities or </w:t>
      </w:r>
      <w:proofErr w:type="spellStart"/>
      <w:r w:rsidRPr="005E2ADD">
        <w:rPr>
          <w:rFonts w:asciiTheme="majorHAnsi" w:hAnsiTheme="majorHAnsi" w:cs="Times New Roman"/>
          <w:sz w:val="24"/>
        </w:rPr>
        <w:t>permaculture</w:t>
      </w:r>
      <w:proofErr w:type="spellEnd"/>
      <w:r w:rsidRPr="005E2ADD">
        <w:rPr>
          <w:rFonts w:asciiTheme="majorHAnsi" w:hAnsiTheme="majorHAnsi" w:cs="Times New Roman"/>
          <w:sz w:val="24"/>
        </w:rPr>
        <w:t xml:space="preserve"> and education projects that had close contact with Tamera. </w:t>
      </w:r>
    </w:p>
    <w:p w:rsidR="005E2ADD" w:rsidRDefault="005E2ADD" w:rsidP="005E2ADD">
      <w:pPr>
        <w:spacing w:line="276" w:lineRule="auto"/>
        <w:ind w:left="-284"/>
        <w:contextualSpacing/>
        <w:jc w:val="both"/>
        <w:rPr>
          <w:rFonts w:asciiTheme="majorHAnsi" w:hAnsiTheme="majorHAnsi" w:cs="Times New Roman"/>
          <w:sz w:val="24"/>
        </w:rPr>
      </w:pPr>
    </w:p>
    <w:p w:rsidR="00B12145" w:rsidRPr="005E2ADD" w:rsidRDefault="005E2ADD" w:rsidP="005E2ADD">
      <w:pPr>
        <w:spacing w:line="276" w:lineRule="auto"/>
        <w:ind w:left="-284"/>
        <w:contextualSpacing/>
        <w:jc w:val="both"/>
        <w:rPr>
          <w:rFonts w:asciiTheme="majorHAnsi" w:hAnsiTheme="majorHAnsi"/>
          <w:sz w:val="24"/>
          <w:szCs w:val="24"/>
          <w:lang w:val="en-GB"/>
        </w:rPr>
      </w:pPr>
      <w:r w:rsidRPr="005E2ADD">
        <w:rPr>
          <w:rFonts w:asciiTheme="majorHAnsi" w:hAnsiTheme="majorHAnsi" w:cs="Times New Roman"/>
          <w:sz w:val="24"/>
        </w:rPr>
        <w:t xml:space="preserve">The few Portuguese visitors had a middle-class professional background and came mostly from the metropolitan areas of Lisbon, Oporto or Coimbra. The predominance of this profile can be partially explained by the prices of the education and training programs. In 2015, participants of “Practical Work in Ecology” were required to pay 20 Euros per day to participate in the program, which corresponds to 600 or 620 Euros for a whole month. The daily rate was reduced to 15 Euros for Portuguese people. The course “Love, Sexuality and Partnership” had a seminar fee of 600 Euros, as well as a daily rate of 30 Euros for food and accommodation. For Portuguese people, the fee was reduced to 400 Euros and the daily rate to 20 Euros. The “Community Course” implied the payment of a course fee of 750 Euros, as well as a daily rate of 30 Euros for food and board. For Portuguese participants, the fee was reduced to 500 Euros and the daily rate to 20 Euros. New “joiners” pay 18 Euros a day, regardless of nationality, during the period in which they are “in education”. According to data published by </w:t>
      </w:r>
      <w:proofErr w:type="spellStart"/>
      <w:r w:rsidRPr="005E2ADD">
        <w:rPr>
          <w:rFonts w:asciiTheme="majorHAnsi" w:hAnsiTheme="majorHAnsi" w:cs="Times New Roman"/>
          <w:sz w:val="24"/>
        </w:rPr>
        <w:t>Instituto</w:t>
      </w:r>
      <w:proofErr w:type="spellEnd"/>
      <w:r w:rsidRPr="005E2ADD">
        <w:rPr>
          <w:rFonts w:asciiTheme="majorHAnsi" w:hAnsiTheme="majorHAnsi" w:cs="Times New Roman"/>
          <w:sz w:val="24"/>
        </w:rPr>
        <w:t xml:space="preserve"> </w:t>
      </w:r>
      <w:proofErr w:type="spellStart"/>
      <w:r w:rsidRPr="005E2ADD">
        <w:rPr>
          <w:rFonts w:asciiTheme="majorHAnsi" w:hAnsiTheme="majorHAnsi" w:cs="Times New Roman"/>
          <w:sz w:val="24"/>
        </w:rPr>
        <w:t>Nacional</w:t>
      </w:r>
      <w:proofErr w:type="spellEnd"/>
      <w:r w:rsidRPr="005E2ADD">
        <w:rPr>
          <w:rFonts w:asciiTheme="majorHAnsi" w:hAnsiTheme="majorHAnsi" w:cs="Times New Roman"/>
          <w:sz w:val="24"/>
        </w:rPr>
        <w:t xml:space="preserve"> de </w:t>
      </w:r>
      <w:proofErr w:type="spellStart"/>
      <w:r w:rsidRPr="005E2ADD">
        <w:rPr>
          <w:rFonts w:asciiTheme="majorHAnsi" w:hAnsiTheme="majorHAnsi" w:cs="Times New Roman"/>
          <w:sz w:val="24"/>
        </w:rPr>
        <w:t>Estatística</w:t>
      </w:r>
      <w:proofErr w:type="spellEnd"/>
      <w:r w:rsidRPr="005E2ADD">
        <w:rPr>
          <w:rFonts w:asciiTheme="majorHAnsi" w:hAnsiTheme="majorHAnsi" w:cs="Times New Roman"/>
          <w:sz w:val="24"/>
        </w:rPr>
        <w:t xml:space="preserve"> (National Institute of Statistics), in 2013 about 20% of the Portuguese population lived with less than 411 Euro a month. Besides, only 4% of the people under 35 earned more than 900 Euros a month, which indicates that only a small minority of Portuguese people can afford the process.</w:t>
      </w:r>
    </w:p>
    <w:p w:rsidR="00D714E2" w:rsidRPr="0062026B" w:rsidRDefault="00D714E2" w:rsidP="008D423C">
      <w:pPr>
        <w:spacing w:beforeLines="1" w:afterLines="1" w:line="276" w:lineRule="auto"/>
        <w:ind w:left="-284" w:right="4"/>
        <w:jc w:val="both"/>
        <w:rPr>
          <w:rFonts w:asciiTheme="majorHAnsi" w:hAnsiTheme="majorHAnsi"/>
          <w:sz w:val="24"/>
          <w:szCs w:val="24"/>
          <w:lang w:val="en-GB"/>
        </w:rPr>
      </w:pPr>
    </w:p>
    <w:p w:rsidR="00C36521" w:rsidRPr="0062026B" w:rsidRDefault="00C36521" w:rsidP="00D714E2">
      <w:pPr>
        <w:spacing w:line="276" w:lineRule="auto"/>
        <w:ind w:left="-284" w:right="-489"/>
        <w:contextualSpacing/>
        <w:jc w:val="both"/>
        <w:rPr>
          <w:rFonts w:asciiTheme="majorHAnsi" w:hAnsiTheme="majorHAnsi"/>
          <w:b/>
          <w:sz w:val="24"/>
          <w:szCs w:val="24"/>
          <w:lang w:val="en-GB"/>
        </w:rPr>
      </w:pPr>
      <w:r w:rsidRPr="0062026B">
        <w:rPr>
          <w:rFonts w:asciiTheme="majorHAnsi" w:hAnsiTheme="majorHAnsi"/>
          <w:b/>
          <w:sz w:val="24"/>
          <w:szCs w:val="24"/>
          <w:lang w:val="en-GB"/>
        </w:rPr>
        <w:t>Conclusion</w:t>
      </w:r>
    </w:p>
    <w:p w:rsidR="0019138E" w:rsidRDefault="0019138E" w:rsidP="0097351E">
      <w:pPr>
        <w:spacing w:line="276" w:lineRule="auto"/>
        <w:ind w:left="-340"/>
        <w:contextualSpacing/>
        <w:jc w:val="both"/>
        <w:rPr>
          <w:rFonts w:asciiTheme="majorHAnsi" w:hAnsiTheme="majorHAnsi"/>
          <w:sz w:val="24"/>
          <w:szCs w:val="24"/>
          <w:lang w:val="en-GB"/>
        </w:rPr>
      </w:pPr>
      <w:r w:rsidRPr="0062026B">
        <w:rPr>
          <w:rFonts w:asciiTheme="majorHAnsi" w:hAnsiTheme="majorHAnsi"/>
          <w:sz w:val="24"/>
          <w:szCs w:val="24"/>
          <w:lang w:val="en-GB"/>
        </w:rPr>
        <w:t>The radical environmental outlook that inspires the core mission of Tamera renders its self-classification as a solidarity economy initiative problematic, given the identification of this field with a Marxist and anthropocentric vision of social transformation. Instead, it is proposed that this case represent</w:t>
      </w:r>
      <w:r w:rsidR="004C763D">
        <w:rPr>
          <w:rFonts w:asciiTheme="majorHAnsi" w:hAnsiTheme="majorHAnsi"/>
          <w:sz w:val="24"/>
          <w:szCs w:val="24"/>
          <w:lang w:val="en-GB"/>
        </w:rPr>
        <w:t>s what is hereby defined as an “embedment”</w:t>
      </w:r>
      <w:r w:rsidRPr="0062026B">
        <w:rPr>
          <w:rFonts w:asciiTheme="majorHAnsi" w:hAnsiTheme="majorHAnsi"/>
          <w:sz w:val="24"/>
          <w:szCs w:val="24"/>
          <w:lang w:val="en-GB"/>
        </w:rPr>
        <w:t xml:space="preserve"> approach to social entrepreneurship. The economic model of Tamera</w:t>
      </w:r>
      <w:r w:rsidR="004C763D">
        <w:rPr>
          <w:rFonts w:asciiTheme="majorHAnsi" w:hAnsiTheme="majorHAnsi"/>
          <w:sz w:val="24"/>
          <w:szCs w:val="24"/>
          <w:lang w:val="en-GB"/>
        </w:rPr>
        <w:t xml:space="preserve"> shares characteristics of the “business methods” and “innovation-centred”</w:t>
      </w:r>
      <w:r w:rsidRPr="0062026B">
        <w:rPr>
          <w:rFonts w:asciiTheme="majorHAnsi" w:hAnsiTheme="majorHAnsi"/>
          <w:sz w:val="24"/>
          <w:szCs w:val="24"/>
          <w:lang w:val="en-GB"/>
        </w:rPr>
        <w:t xml:space="preserve"> approaches to social entrepreneurship. It combines for-profit and non-profit aspects in its need-oriented financial strategy, based on the building of an international community of like-minded supporters. Besides, it uses on-site experimentation on </w:t>
      </w:r>
      <w:proofErr w:type="spellStart"/>
      <w:r w:rsidRPr="0062026B">
        <w:rPr>
          <w:rFonts w:asciiTheme="majorHAnsi" w:hAnsiTheme="majorHAnsi"/>
          <w:sz w:val="24"/>
          <w:szCs w:val="24"/>
          <w:lang w:val="en-GB"/>
        </w:rPr>
        <w:t>permaculture</w:t>
      </w:r>
      <w:proofErr w:type="spellEnd"/>
      <w:r w:rsidRPr="0062026B">
        <w:rPr>
          <w:rFonts w:asciiTheme="majorHAnsi" w:hAnsiTheme="majorHAnsi"/>
          <w:sz w:val="24"/>
          <w:szCs w:val="24"/>
          <w:lang w:val="en-GB"/>
        </w:rPr>
        <w:t xml:space="preserve"> and renewable technologies to support the emergence of commons. However, the centrality of community-building and </w:t>
      </w:r>
      <w:proofErr w:type="spellStart"/>
      <w:r w:rsidRPr="0062026B">
        <w:rPr>
          <w:rFonts w:asciiTheme="majorHAnsi" w:hAnsiTheme="majorHAnsi"/>
          <w:sz w:val="24"/>
          <w:szCs w:val="24"/>
          <w:lang w:val="en-GB"/>
        </w:rPr>
        <w:t>decommodification</w:t>
      </w:r>
      <w:proofErr w:type="spellEnd"/>
      <w:r w:rsidRPr="0062026B">
        <w:rPr>
          <w:rFonts w:asciiTheme="majorHAnsi" w:hAnsiTheme="majorHAnsi"/>
          <w:sz w:val="24"/>
          <w:szCs w:val="24"/>
          <w:lang w:val="en-GB"/>
        </w:rPr>
        <w:t xml:space="preserve"> through </w:t>
      </w:r>
      <w:r w:rsidRPr="0062026B">
        <w:rPr>
          <w:rFonts w:asciiTheme="majorHAnsi" w:hAnsiTheme="majorHAnsi"/>
          <w:sz w:val="24"/>
          <w:szCs w:val="24"/>
          <w:lang w:val="en-GB"/>
        </w:rPr>
        <w:lastRenderedPageBreak/>
        <w:t xml:space="preserve">sustainable human-natural synergies indicates a distinct approach to social entrepreneurship, one that is supported by embedment in ecological and social dynamics. The social goal of this </w:t>
      </w:r>
      <w:proofErr w:type="spellStart"/>
      <w:r w:rsidRPr="0062026B">
        <w:rPr>
          <w:rFonts w:asciiTheme="majorHAnsi" w:hAnsiTheme="majorHAnsi"/>
          <w:sz w:val="24"/>
          <w:szCs w:val="24"/>
          <w:lang w:val="en-GB"/>
        </w:rPr>
        <w:t>ecovillage</w:t>
      </w:r>
      <w:proofErr w:type="spellEnd"/>
      <w:r w:rsidRPr="0062026B">
        <w:rPr>
          <w:rFonts w:asciiTheme="majorHAnsi" w:hAnsiTheme="majorHAnsi"/>
          <w:sz w:val="24"/>
          <w:szCs w:val="24"/>
          <w:lang w:val="en-GB"/>
        </w:rPr>
        <w:t xml:space="preserve"> is sustained by two factors. One of them is the abundance of sunshine and rainwater in the region, which supports soil regeneration and autonomy in water management and energy production</w:t>
      </w:r>
      <w:r w:rsidR="004C763D">
        <w:rPr>
          <w:rFonts w:asciiTheme="majorHAnsi" w:hAnsiTheme="majorHAnsi"/>
          <w:sz w:val="24"/>
          <w:szCs w:val="24"/>
          <w:lang w:val="en-GB"/>
        </w:rPr>
        <w:t>. The other is the “</w:t>
      </w:r>
      <w:proofErr w:type="spellStart"/>
      <w:r w:rsidR="004C763D">
        <w:rPr>
          <w:rFonts w:asciiTheme="majorHAnsi" w:hAnsiTheme="majorHAnsi"/>
          <w:sz w:val="24"/>
          <w:szCs w:val="24"/>
          <w:lang w:val="en-GB"/>
        </w:rPr>
        <w:t>postmodernizing</w:t>
      </w:r>
      <w:proofErr w:type="spellEnd"/>
      <w:r w:rsidR="004C763D">
        <w:rPr>
          <w:rFonts w:asciiTheme="majorHAnsi" w:hAnsiTheme="majorHAnsi"/>
          <w:sz w:val="24"/>
          <w:szCs w:val="24"/>
          <w:lang w:val="en-GB"/>
        </w:rPr>
        <w:t xml:space="preserve"> </w:t>
      </w:r>
      <w:proofErr w:type="spellStart"/>
      <w:r w:rsidR="004C763D">
        <w:rPr>
          <w:rFonts w:asciiTheme="majorHAnsi" w:hAnsiTheme="majorHAnsi"/>
          <w:sz w:val="24"/>
          <w:szCs w:val="24"/>
          <w:lang w:val="en-GB"/>
        </w:rPr>
        <w:t>habitus</w:t>
      </w:r>
      <w:proofErr w:type="spellEnd"/>
      <w:r w:rsidR="004C763D">
        <w:rPr>
          <w:rFonts w:asciiTheme="majorHAnsi" w:hAnsiTheme="majorHAnsi"/>
          <w:sz w:val="24"/>
          <w:szCs w:val="24"/>
          <w:lang w:val="en-GB"/>
        </w:rPr>
        <w:t>”</w:t>
      </w:r>
      <w:r w:rsidRPr="0062026B">
        <w:rPr>
          <w:rFonts w:asciiTheme="majorHAnsi" w:hAnsiTheme="majorHAnsi"/>
          <w:sz w:val="24"/>
          <w:szCs w:val="24"/>
          <w:lang w:val="en-GB"/>
        </w:rPr>
        <w:t xml:space="preserve"> of its supporters, drawn from sectors of the upper and middle classes of the industrialized world. Further research is necessary to understand if this approach is a trend among </w:t>
      </w:r>
      <w:proofErr w:type="spellStart"/>
      <w:r w:rsidRPr="0062026B">
        <w:rPr>
          <w:rFonts w:asciiTheme="majorHAnsi" w:hAnsiTheme="majorHAnsi"/>
          <w:sz w:val="24"/>
          <w:szCs w:val="24"/>
          <w:lang w:val="en-GB"/>
        </w:rPr>
        <w:t>ecovillages</w:t>
      </w:r>
      <w:proofErr w:type="spellEnd"/>
      <w:r w:rsidRPr="0062026B">
        <w:rPr>
          <w:rFonts w:asciiTheme="majorHAnsi" w:hAnsiTheme="majorHAnsi"/>
          <w:sz w:val="24"/>
          <w:szCs w:val="24"/>
          <w:lang w:val="en-GB"/>
        </w:rPr>
        <w:t xml:space="preserve"> or if it is specific to Tamera.</w:t>
      </w:r>
    </w:p>
    <w:p w:rsidR="0097351E" w:rsidRDefault="0097351E" w:rsidP="0097351E">
      <w:pPr>
        <w:spacing w:line="276" w:lineRule="auto"/>
        <w:ind w:left="-284"/>
        <w:contextualSpacing/>
        <w:jc w:val="both"/>
        <w:rPr>
          <w:rFonts w:asciiTheme="majorHAnsi" w:hAnsiTheme="majorHAnsi"/>
          <w:sz w:val="24"/>
          <w:szCs w:val="24"/>
          <w:lang w:val="en-GB"/>
        </w:rPr>
      </w:pPr>
    </w:p>
    <w:p w:rsidR="0019138E" w:rsidRPr="0062026B" w:rsidRDefault="00C36521" w:rsidP="0097351E">
      <w:pPr>
        <w:spacing w:line="276" w:lineRule="auto"/>
        <w:ind w:left="-284"/>
        <w:contextualSpacing/>
        <w:jc w:val="both"/>
        <w:rPr>
          <w:rFonts w:asciiTheme="majorHAnsi" w:hAnsiTheme="majorHAnsi" w:cs="Times New Roman"/>
          <w:sz w:val="24"/>
          <w:szCs w:val="24"/>
        </w:rPr>
      </w:pPr>
      <w:r w:rsidRPr="0062026B">
        <w:rPr>
          <w:rFonts w:asciiTheme="majorHAnsi" w:hAnsiTheme="majorHAnsi"/>
          <w:sz w:val="24"/>
          <w:szCs w:val="24"/>
          <w:lang w:val="en-GB"/>
        </w:rPr>
        <w:t xml:space="preserve">Further research is </w:t>
      </w:r>
      <w:r w:rsidR="0019138E" w:rsidRPr="0062026B">
        <w:rPr>
          <w:rFonts w:asciiTheme="majorHAnsi" w:hAnsiTheme="majorHAnsi"/>
          <w:sz w:val="24"/>
          <w:szCs w:val="24"/>
          <w:lang w:val="en-GB"/>
        </w:rPr>
        <w:t xml:space="preserve">also </w:t>
      </w:r>
      <w:r w:rsidRPr="0062026B">
        <w:rPr>
          <w:rFonts w:asciiTheme="majorHAnsi" w:hAnsiTheme="majorHAnsi"/>
          <w:sz w:val="24"/>
          <w:szCs w:val="24"/>
          <w:lang w:val="en-GB"/>
        </w:rPr>
        <w:t>necessary in order to assess the extent to which the governance institutions and social technologies developed in Tamera properly address issues of power dynamics and structural inequality. Their stated purpose is to undermine the formation of hierarchies and promote inclusive and participatory governance. However, the data collected indicates the presence of an informal hierarchy based on seniority and reputation.</w:t>
      </w:r>
      <w:r w:rsidR="00A964F9">
        <w:rPr>
          <w:rFonts w:asciiTheme="majorHAnsi" w:hAnsiTheme="majorHAnsi"/>
          <w:sz w:val="24"/>
          <w:szCs w:val="24"/>
          <w:lang w:val="en-GB"/>
        </w:rPr>
        <w:t xml:space="preserve"> It also indicates that access to Tamera’s educational programmes, and to the community itself, is strongly dependent upon having a position within the capitalist economy that allows oneself the disposable time and income to dedicate to such purpose. </w:t>
      </w:r>
      <w:r w:rsidRPr="0062026B">
        <w:rPr>
          <w:rFonts w:asciiTheme="majorHAnsi" w:hAnsiTheme="majorHAnsi"/>
          <w:sz w:val="24"/>
          <w:szCs w:val="24"/>
        </w:rPr>
        <w:t xml:space="preserve">These factors indicate that </w:t>
      </w:r>
      <w:r w:rsidRPr="0062026B">
        <w:rPr>
          <w:rFonts w:asciiTheme="majorHAnsi" w:hAnsiTheme="majorHAnsi" w:cs="Times New Roman"/>
          <w:sz w:val="24"/>
          <w:szCs w:val="24"/>
        </w:rPr>
        <w:t>further avenues for research and intervention on processes of “</w:t>
      </w:r>
      <w:proofErr w:type="spellStart"/>
      <w:r w:rsidRPr="0062026B">
        <w:rPr>
          <w:rFonts w:asciiTheme="majorHAnsi" w:hAnsiTheme="majorHAnsi" w:cs="Times New Roman"/>
          <w:sz w:val="24"/>
          <w:szCs w:val="24"/>
        </w:rPr>
        <w:t>commoning</w:t>
      </w:r>
      <w:proofErr w:type="spellEnd"/>
      <w:r w:rsidRPr="0062026B">
        <w:rPr>
          <w:rFonts w:asciiTheme="majorHAnsi" w:hAnsiTheme="majorHAnsi" w:cs="Times New Roman"/>
          <w:sz w:val="24"/>
          <w:szCs w:val="24"/>
        </w:rPr>
        <w:t>” within radical environmental initiatives should be theoretically anchored in political economy. They should also combine participant observation with a demographic and life history approaches, so as to better grasp how structural and symbolic inequalities determine participation in processes of “</w:t>
      </w:r>
      <w:proofErr w:type="spellStart"/>
      <w:r w:rsidRPr="0062026B">
        <w:rPr>
          <w:rFonts w:asciiTheme="majorHAnsi" w:hAnsiTheme="majorHAnsi" w:cs="Times New Roman"/>
          <w:sz w:val="24"/>
          <w:szCs w:val="24"/>
        </w:rPr>
        <w:t>commoning</w:t>
      </w:r>
      <w:proofErr w:type="spellEnd"/>
      <w:r w:rsidRPr="0062026B">
        <w:rPr>
          <w:rFonts w:asciiTheme="majorHAnsi" w:hAnsiTheme="majorHAnsi" w:cs="Times New Roman"/>
          <w:sz w:val="24"/>
          <w:szCs w:val="24"/>
        </w:rPr>
        <w:t xml:space="preserve">”. </w:t>
      </w:r>
    </w:p>
    <w:p w:rsidR="0019138E" w:rsidRPr="0062026B" w:rsidRDefault="0019138E" w:rsidP="0019138E">
      <w:pPr>
        <w:spacing w:line="276" w:lineRule="auto"/>
        <w:ind w:left="-284" w:firstLine="710"/>
        <w:contextualSpacing/>
        <w:jc w:val="both"/>
        <w:rPr>
          <w:rFonts w:asciiTheme="majorHAnsi" w:hAnsiTheme="majorHAnsi" w:cs="Times New Roman"/>
          <w:sz w:val="24"/>
          <w:szCs w:val="24"/>
        </w:rPr>
      </w:pPr>
    </w:p>
    <w:p w:rsidR="00D714E2" w:rsidRPr="00A964F9" w:rsidRDefault="00326DEA" w:rsidP="00A964F9">
      <w:pPr>
        <w:spacing w:line="276" w:lineRule="auto"/>
        <w:ind w:left="-284"/>
        <w:contextualSpacing/>
        <w:jc w:val="both"/>
        <w:rPr>
          <w:rFonts w:asciiTheme="majorHAnsi" w:hAnsiTheme="majorHAnsi" w:cs="Times New Roman"/>
          <w:b/>
          <w:sz w:val="24"/>
          <w:szCs w:val="24"/>
          <w:lang w:val="pt-PT"/>
        </w:rPr>
      </w:pPr>
      <w:r w:rsidRPr="007D6F5B">
        <w:rPr>
          <w:rFonts w:asciiTheme="majorHAnsi" w:hAnsiTheme="majorHAnsi" w:cs="Times New Roman"/>
          <w:b/>
          <w:sz w:val="24"/>
          <w:szCs w:val="24"/>
          <w:lang w:val="pt-PT"/>
        </w:rPr>
        <w:t>Bibliography</w:t>
      </w:r>
    </w:p>
    <w:p w:rsidR="0019138E" w:rsidRPr="007D6F5B" w:rsidRDefault="0019138E" w:rsidP="005E2ADD">
      <w:pPr>
        <w:spacing w:line="276" w:lineRule="auto"/>
        <w:ind w:left="-284"/>
        <w:contextualSpacing/>
        <w:jc w:val="both"/>
        <w:rPr>
          <w:rFonts w:asciiTheme="majorHAnsi" w:hAnsiTheme="majorHAnsi"/>
          <w:sz w:val="24"/>
          <w:szCs w:val="24"/>
          <w:lang w:val="pt-PT"/>
        </w:rPr>
      </w:pPr>
      <w:r w:rsidRPr="0062026B">
        <w:rPr>
          <w:rFonts w:asciiTheme="majorHAnsi" w:hAnsiTheme="majorHAnsi"/>
          <w:sz w:val="24"/>
          <w:szCs w:val="24"/>
          <w:lang w:val="pt-PT"/>
        </w:rPr>
        <w:t>Amaro R</w:t>
      </w:r>
      <w:r w:rsidR="008C0B89">
        <w:rPr>
          <w:rFonts w:asciiTheme="majorHAnsi" w:hAnsiTheme="majorHAnsi"/>
          <w:sz w:val="24"/>
          <w:szCs w:val="24"/>
          <w:lang w:val="pt-PT"/>
        </w:rPr>
        <w:t>.</w:t>
      </w:r>
      <w:r w:rsidRPr="0062026B">
        <w:rPr>
          <w:rFonts w:asciiTheme="majorHAnsi" w:hAnsiTheme="majorHAnsi"/>
          <w:sz w:val="24"/>
          <w:szCs w:val="24"/>
          <w:lang w:val="pt-PT"/>
        </w:rPr>
        <w:t xml:space="preserve"> (2010) A Economia Solidária na Macaronésia – Um Novo Conceito [Solidarity </w:t>
      </w:r>
      <w:r w:rsidRPr="007C23BE">
        <w:rPr>
          <w:rFonts w:asciiTheme="majorHAnsi" w:hAnsiTheme="majorHAnsi"/>
          <w:sz w:val="24"/>
          <w:szCs w:val="24"/>
        </w:rPr>
        <w:t xml:space="preserve">Economy in </w:t>
      </w:r>
      <w:proofErr w:type="spellStart"/>
      <w:r w:rsidRPr="007C23BE">
        <w:rPr>
          <w:rFonts w:asciiTheme="majorHAnsi" w:hAnsiTheme="majorHAnsi"/>
          <w:sz w:val="24"/>
          <w:szCs w:val="24"/>
        </w:rPr>
        <w:t>Macaronesia</w:t>
      </w:r>
      <w:proofErr w:type="spellEnd"/>
      <w:r w:rsidRPr="007C23BE">
        <w:rPr>
          <w:rFonts w:asciiTheme="majorHAnsi" w:hAnsiTheme="majorHAnsi"/>
          <w:sz w:val="24"/>
          <w:szCs w:val="24"/>
        </w:rPr>
        <w:t xml:space="preserve"> – A New Concept]. </w:t>
      </w:r>
      <w:r w:rsidRPr="002E17F7">
        <w:rPr>
          <w:rFonts w:asciiTheme="majorHAnsi" w:hAnsiTheme="majorHAnsi"/>
          <w:i/>
          <w:sz w:val="24"/>
          <w:szCs w:val="24"/>
          <w:lang w:val="pt-PT"/>
        </w:rPr>
        <w:t>Revista de Economia Solidária,</w:t>
      </w:r>
      <w:r w:rsidR="008C0B89">
        <w:rPr>
          <w:rFonts w:asciiTheme="majorHAnsi" w:hAnsiTheme="majorHAnsi"/>
          <w:sz w:val="24"/>
          <w:szCs w:val="24"/>
          <w:lang w:val="pt-PT"/>
        </w:rPr>
        <w:t xml:space="preserve"> 7, </w:t>
      </w:r>
      <w:r w:rsidR="008C0B89" w:rsidRPr="007D6F5B">
        <w:rPr>
          <w:rFonts w:asciiTheme="majorHAnsi" w:hAnsiTheme="majorHAnsi"/>
          <w:sz w:val="24"/>
          <w:szCs w:val="24"/>
          <w:lang w:val="pt-PT"/>
        </w:rPr>
        <w:t>pp.</w:t>
      </w:r>
      <w:r w:rsidRPr="007D6F5B">
        <w:rPr>
          <w:rFonts w:asciiTheme="majorHAnsi" w:hAnsiTheme="majorHAnsi"/>
          <w:sz w:val="24"/>
          <w:szCs w:val="24"/>
          <w:lang w:val="pt-PT"/>
        </w:rPr>
        <w:t xml:space="preserve"> 10-29</w:t>
      </w:r>
      <w:r w:rsidR="008C0B89" w:rsidRPr="007D6F5B">
        <w:rPr>
          <w:rFonts w:asciiTheme="majorHAnsi" w:hAnsiTheme="majorHAnsi"/>
          <w:sz w:val="24"/>
          <w:szCs w:val="24"/>
          <w:lang w:val="pt-PT"/>
        </w:rPr>
        <w:t>.</w:t>
      </w:r>
    </w:p>
    <w:p w:rsidR="0019138E" w:rsidRPr="007D6F5B" w:rsidRDefault="0019138E" w:rsidP="007C23BE">
      <w:pPr>
        <w:spacing w:line="276" w:lineRule="auto"/>
        <w:ind w:left="-284"/>
        <w:contextualSpacing/>
        <w:jc w:val="both"/>
        <w:rPr>
          <w:rFonts w:asciiTheme="majorHAnsi" w:hAnsiTheme="majorHAnsi"/>
          <w:sz w:val="24"/>
          <w:szCs w:val="24"/>
          <w:lang w:val="pt-PT"/>
        </w:rPr>
      </w:pPr>
      <w:r w:rsidRPr="007D6F5B">
        <w:rPr>
          <w:rFonts w:asciiTheme="majorHAnsi" w:hAnsiTheme="majorHAnsi"/>
          <w:sz w:val="24"/>
          <w:szCs w:val="24"/>
          <w:lang w:val="pt-PT"/>
        </w:rPr>
        <w:t>Amaro R</w:t>
      </w:r>
      <w:r w:rsidR="008C0B89" w:rsidRPr="007D6F5B">
        <w:rPr>
          <w:rFonts w:asciiTheme="majorHAnsi" w:hAnsiTheme="majorHAnsi"/>
          <w:sz w:val="24"/>
          <w:szCs w:val="24"/>
          <w:lang w:val="pt-PT"/>
        </w:rPr>
        <w:t>.</w:t>
      </w:r>
      <w:r w:rsidRPr="007D6F5B">
        <w:rPr>
          <w:rFonts w:asciiTheme="majorHAnsi" w:hAnsiTheme="majorHAnsi"/>
          <w:sz w:val="24"/>
          <w:szCs w:val="24"/>
          <w:lang w:val="pt-PT"/>
        </w:rPr>
        <w:t xml:space="preserve"> (2015) Nota Editorial [Editorial Note]. </w:t>
      </w:r>
      <w:r w:rsidRPr="007D6F5B">
        <w:rPr>
          <w:rFonts w:asciiTheme="majorHAnsi" w:hAnsiTheme="majorHAnsi"/>
          <w:i/>
          <w:sz w:val="24"/>
          <w:szCs w:val="24"/>
          <w:lang w:val="pt-PT"/>
        </w:rPr>
        <w:t>Revista de Economia Solidária</w:t>
      </w:r>
      <w:r w:rsidR="008C0B89" w:rsidRPr="007D6F5B">
        <w:rPr>
          <w:rFonts w:asciiTheme="majorHAnsi" w:hAnsiTheme="majorHAnsi"/>
          <w:sz w:val="24"/>
          <w:szCs w:val="24"/>
          <w:lang w:val="pt-PT"/>
        </w:rPr>
        <w:t>, 8, pp.</w:t>
      </w:r>
      <w:r w:rsidRPr="007D6F5B">
        <w:rPr>
          <w:rFonts w:asciiTheme="majorHAnsi" w:hAnsiTheme="majorHAnsi"/>
          <w:sz w:val="24"/>
          <w:szCs w:val="24"/>
          <w:lang w:val="pt-PT"/>
        </w:rPr>
        <w:t xml:space="preserve"> 8-17</w:t>
      </w:r>
      <w:r w:rsidR="008C0B89" w:rsidRPr="007D6F5B">
        <w:rPr>
          <w:rFonts w:asciiTheme="majorHAnsi" w:hAnsiTheme="majorHAnsi"/>
          <w:sz w:val="24"/>
          <w:szCs w:val="24"/>
          <w:lang w:val="pt-PT"/>
        </w:rPr>
        <w:t>.</w:t>
      </w:r>
    </w:p>
    <w:p w:rsidR="0019138E" w:rsidRPr="0062026B" w:rsidRDefault="0019138E" w:rsidP="005E2ADD">
      <w:pPr>
        <w:spacing w:line="276" w:lineRule="auto"/>
        <w:ind w:left="-284"/>
        <w:contextualSpacing/>
        <w:jc w:val="both"/>
        <w:rPr>
          <w:rFonts w:asciiTheme="majorHAnsi" w:hAnsiTheme="majorHAnsi"/>
          <w:sz w:val="24"/>
          <w:szCs w:val="24"/>
          <w:lang w:val="en-GB"/>
        </w:rPr>
      </w:pPr>
      <w:r w:rsidRPr="008C0B89">
        <w:rPr>
          <w:rFonts w:asciiTheme="majorHAnsi" w:hAnsiTheme="majorHAnsi"/>
          <w:sz w:val="24"/>
          <w:szCs w:val="24"/>
        </w:rPr>
        <w:t>Berman M</w:t>
      </w:r>
      <w:r w:rsidR="008C0B89" w:rsidRPr="008C0B89">
        <w:rPr>
          <w:rFonts w:asciiTheme="majorHAnsi" w:hAnsiTheme="majorHAnsi"/>
          <w:sz w:val="24"/>
          <w:szCs w:val="24"/>
        </w:rPr>
        <w:t>.</w:t>
      </w:r>
      <w:r w:rsidRPr="008C0B89">
        <w:rPr>
          <w:rFonts w:asciiTheme="majorHAnsi" w:hAnsiTheme="majorHAnsi"/>
          <w:sz w:val="24"/>
          <w:szCs w:val="24"/>
        </w:rPr>
        <w:t xml:space="preserve"> (1988) </w:t>
      </w:r>
      <w:r w:rsidRPr="008C0B89">
        <w:rPr>
          <w:rFonts w:asciiTheme="majorHAnsi" w:hAnsiTheme="majorHAnsi"/>
          <w:i/>
          <w:sz w:val="24"/>
          <w:szCs w:val="24"/>
        </w:rPr>
        <w:t>All that is S</w:t>
      </w:r>
      <w:proofErr w:type="spellStart"/>
      <w:r w:rsidRPr="0062026B">
        <w:rPr>
          <w:rFonts w:asciiTheme="majorHAnsi" w:hAnsiTheme="majorHAnsi"/>
          <w:i/>
          <w:sz w:val="24"/>
          <w:szCs w:val="24"/>
          <w:lang w:val="en-GB"/>
        </w:rPr>
        <w:t>olid</w:t>
      </w:r>
      <w:proofErr w:type="spellEnd"/>
      <w:r w:rsidRPr="0062026B">
        <w:rPr>
          <w:rFonts w:asciiTheme="majorHAnsi" w:hAnsiTheme="majorHAnsi"/>
          <w:i/>
          <w:sz w:val="24"/>
          <w:szCs w:val="24"/>
          <w:lang w:val="en-GB"/>
        </w:rPr>
        <w:t xml:space="preserve"> Melts into Air: The Experience of Modernity</w:t>
      </w:r>
      <w:r w:rsidRPr="0062026B">
        <w:rPr>
          <w:rFonts w:asciiTheme="majorHAnsi" w:hAnsiTheme="majorHAnsi"/>
          <w:sz w:val="24"/>
          <w:szCs w:val="24"/>
          <w:lang w:val="en-GB"/>
        </w:rPr>
        <w:t>. New York: Penguin Books</w:t>
      </w:r>
      <w:r w:rsidR="008C0B89">
        <w:rPr>
          <w:rFonts w:asciiTheme="majorHAnsi" w:hAnsiTheme="majorHAnsi"/>
          <w:sz w:val="24"/>
          <w:szCs w:val="24"/>
          <w:lang w:val="en-GB"/>
        </w:rPr>
        <w:t>.</w:t>
      </w:r>
    </w:p>
    <w:p w:rsidR="005E2ADD" w:rsidRDefault="0019138E" w:rsidP="005E2ADD">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Berzano</w:t>
      </w:r>
      <w:proofErr w:type="spellEnd"/>
      <w:r w:rsidRPr="0062026B">
        <w:rPr>
          <w:rFonts w:asciiTheme="majorHAnsi" w:hAnsiTheme="majorHAnsi"/>
          <w:sz w:val="24"/>
          <w:szCs w:val="24"/>
          <w:lang w:val="en-GB"/>
        </w:rPr>
        <w:t xml:space="preserve"> L</w:t>
      </w:r>
      <w:r w:rsidR="008C0B89">
        <w:rPr>
          <w:rFonts w:asciiTheme="majorHAnsi" w:hAnsiTheme="majorHAnsi"/>
          <w:sz w:val="24"/>
          <w:szCs w:val="24"/>
          <w:lang w:val="en-GB"/>
        </w:rPr>
        <w:t>.</w:t>
      </w:r>
      <w:r w:rsidRPr="0062026B">
        <w:rPr>
          <w:rFonts w:asciiTheme="majorHAnsi" w:hAnsiTheme="majorHAnsi"/>
          <w:sz w:val="24"/>
          <w:szCs w:val="24"/>
          <w:lang w:val="en-GB"/>
        </w:rPr>
        <w:t xml:space="preserve"> (1998) </w:t>
      </w:r>
      <w:r w:rsidRPr="0062026B">
        <w:rPr>
          <w:rFonts w:asciiTheme="majorHAnsi" w:hAnsiTheme="majorHAnsi"/>
          <w:i/>
          <w:sz w:val="24"/>
          <w:szCs w:val="24"/>
          <w:lang w:val="en-GB"/>
        </w:rPr>
        <w:t xml:space="preserve">Damanhur: </w:t>
      </w:r>
      <w:proofErr w:type="spellStart"/>
      <w:r w:rsidRPr="0062026B">
        <w:rPr>
          <w:rFonts w:asciiTheme="majorHAnsi" w:hAnsiTheme="majorHAnsi"/>
          <w:i/>
          <w:sz w:val="24"/>
          <w:szCs w:val="24"/>
          <w:lang w:val="en-GB"/>
        </w:rPr>
        <w:t>Popolo</w:t>
      </w:r>
      <w:proofErr w:type="spellEnd"/>
      <w:r w:rsidRPr="0062026B">
        <w:rPr>
          <w:rFonts w:asciiTheme="majorHAnsi" w:hAnsiTheme="majorHAnsi"/>
          <w:i/>
          <w:sz w:val="24"/>
          <w:szCs w:val="24"/>
          <w:lang w:val="en-GB"/>
        </w:rPr>
        <w:t xml:space="preserve"> e </w:t>
      </w:r>
      <w:proofErr w:type="spellStart"/>
      <w:r w:rsidRPr="0062026B">
        <w:rPr>
          <w:rFonts w:asciiTheme="majorHAnsi" w:hAnsiTheme="majorHAnsi"/>
          <w:i/>
          <w:sz w:val="24"/>
          <w:szCs w:val="24"/>
          <w:lang w:val="en-GB"/>
        </w:rPr>
        <w:t>comunità</w:t>
      </w:r>
      <w:proofErr w:type="spellEnd"/>
      <w:r w:rsidRPr="0062026B">
        <w:rPr>
          <w:rFonts w:asciiTheme="majorHAnsi" w:hAnsiTheme="majorHAnsi"/>
          <w:sz w:val="24"/>
          <w:szCs w:val="24"/>
          <w:lang w:val="en-GB"/>
        </w:rPr>
        <w:t xml:space="preserve"> [Damanhur: People and community]. Torino: </w:t>
      </w:r>
      <w:proofErr w:type="spellStart"/>
      <w:r w:rsidRPr="0062026B">
        <w:rPr>
          <w:rFonts w:asciiTheme="majorHAnsi" w:hAnsiTheme="majorHAnsi"/>
          <w:sz w:val="24"/>
          <w:szCs w:val="24"/>
          <w:lang w:val="en-GB"/>
        </w:rPr>
        <w:t>Elledici</w:t>
      </w:r>
      <w:proofErr w:type="spellEnd"/>
      <w:r w:rsidR="008C0B89">
        <w:rPr>
          <w:rFonts w:asciiTheme="majorHAnsi" w:hAnsiTheme="majorHAnsi"/>
          <w:sz w:val="24"/>
          <w:szCs w:val="24"/>
          <w:lang w:val="en-GB"/>
        </w:rPr>
        <w:t>.</w:t>
      </w:r>
    </w:p>
    <w:p w:rsidR="0019138E" w:rsidRPr="0062026B" w:rsidRDefault="0019138E" w:rsidP="005E2ADD">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lang w:val="en-GB"/>
        </w:rPr>
        <w:t>Bornstein D</w:t>
      </w:r>
      <w:r w:rsidR="008C0B89">
        <w:rPr>
          <w:rFonts w:asciiTheme="majorHAnsi" w:hAnsiTheme="majorHAnsi"/>
          <w:sz w:val="24"/>
          <w:szCs w:val="24"/>
          <w:lang w:val="en-GB"/>
        </w:rPr>
        <w:t>.</w:t>
      </w:r>
      <w:r w:rsidRPr="0062026B">
        <w:rPr>
          <w:rFonts w:asciiTheme="majorHAnsi" w:hAnsiTheme="majorHAnsi"/>
          <w:sz w:val="24"/>
          <w:szCs w:val="24"/>
          <w:lang w:val="en-GB"/>
        </w:rPr>
        <w:t xml:space="preserve"> (2007) </w:t>
      </w:r>
      <w:r w:rsidRPr="0062026B">
        <w:rPr>
          <w:rFonts w:asciiTheme="majorHAnsi" w:hAnsiTheme="majorHAnsi"/>
          <w:i/>
          <w:sz w:val="24"/>
          <w:szCs w:val="24"/>
          <w:lang w:val="en-GB"/>
        </w:rPr>
        <w:t>How to Change the World: Social Entrepreneurs and the Power of New Ideas</w:t>
      </w:r>
      <w:r w:rsidRPr="0062026B">
        <w:rPr>
          <w:rFonts w:asciiTheme="majorHAnsi" w:hAnsiTheme="majorHAnsi"/>
          <w:sz w:val="24"/>
          <w:szCs w:val="24"/>
          <w:lang w:val="en-GB"/>
        </w:rPr>
        <w:t>, 2</w:t>
      </w:r>
      <w:r w:rsidRPr="0062026B">
        <w:rPr>
          <w:rFonts w:asciiTheme="majorHAnsi" w:hAnsiTheme="majorHAnsi"/>
          <w:sz w:val="24"/>
          <w:szCs w:val="24"/>
          <w:vertAlign w:val="superscript"/>
          <w:lang w:val="en-GB"/>
        </w:rPr>
        <w:t>nd</w:t>
      </w:r>
      <w:r w:rsidRPr="0062026B">
        <w:rPr>
          <w:rFonts w:asciiTheme="majorHAnsi" w:hAnsiTheme="majorHAnsi"/>
          <w:sz w:val="24"/>
          <w:szCs w:val="24"/>
          <w:lang w:val="en-GB"/>
        </w:rPr>
        <w:t xml:space="preserve"> Ed. Oxford, UK: Oxford University Press</w:t>
      </w:r>
      <w:r w:rsidR="008C0B89">
        <w:rPr>
          <w:rFonts w:asciiTheme="majorHAnsi" w:hAnsiTheme="majorHAnsi"/>
          <w:sz w:val="24"/>
          <w:szCs w:val="24"/>
          <w:lang w:val="en-GB"/>
        </w:rPr>
        <w:t>.</w:t>
      </w:r>
    </w:p>
    <w:p w:rsidR="0019138E" w:rsidRPr="005E2ADD" w:rsidRDefault="0019138E" w:rsidP="005E2ADD">
      <w:pPr>
        <w:autoSpaceDE w:val="0"/>
        <w:autoSpaceDN w:val="0"/>
        <w:adjustRightInd w:val="0"/>
        <w:spacing w:after="0" w:line="276" w:lineRule="auto"/>
        <w:ind w:left="-284"/>
        <w:contextualSpacing/>
        <w:jc w:val="both"/>
        <w:rPr>
          <w:rFonts w:asciiTheme="majorHAnsi" w:hAnsiTheme="majorHAnsi"/>
          <w:i/>
          <w:iCs/>
          <w:sz w:val="24"/>
          <w:szCs w:val="24"/>
          <w:lang w:val="en-GB"/>
        </w:rPr>
      </w:pPr>
      <w:r w:rsidRPr="0062026B">
        <w:rPr>
          <w:rFonts w:asciiTheme="majorHAnsi" w:hAnsiTheme="majorHAnsi"/>
          <w:sz w:val="24"/>
          <w:szCs w:val="24"/>
          <w:lang w:val="en-GB"/>
        </w:rPr>
        <w:t>Buell L</w:t>
      </w:r>
      <w:r w:rsidR="008C0B89">
        <w:rPr>
          <w:rFonts w:asciiTheme="majorHAnsi" w:hAnsiTheme="majorHAnsi"/>
          <w:sz w:val="24"/>
          <w:szCs w:val="24"/>
          <w:lang w:val="en-GB"/>
        </w:rPr>
        <w:t>.</w:t>
      </w:r>
      <w:r w:rsidRPr="0062026B">
        <w:rPr>
          <w:rFonts w:asciiTheme="majorHAnsi" w:hAnsiTheme="majorHAnsi"/>
          <w:sz w:val="24"/>
          <w:szCs w:val="24"/>
          <w:lang w:val="en-GB"/>
        </w:rPr>
        <w:t xml:space="preserve"> (2001) </w:t>
      </w:r>
      <w:r w:rsidRPr="0062026B">
        <w:rPr>
          <w:rFonts w:asciiTheme="majorHAnsi" w:hAnsiTheme="majorHAnsi"/>
          <w:i/>
          <w:iCs/>
          <w:sz w:val="24"/>
          <w:szCs w:val="24"/>
          <w:lang w:val="en-GB"/>
        </w:rPr>
        <w:t>Writing for an Endangered World: Literature, Culture, and Environment in the U. S. and Beyond</w:t>
      </w:r>
      <w:r w:rsidRPr="0062026B">
        <w:rPr>
          <w:rFonts w:asciiTheme="majorHAnsi" w:hAnsiTheme="majorHAnsi"/>
          <w:sz w:val="24"/>
          <w:szCs w:val="24"/>
          <w:lang w:val="en-GB"/>
        </w:rPr>
        <w:t>. Cambridge: Harvard University Press.</w:t>
      </w:r>
    </w:p>
    <w:p w:rsidR="007C23BE" w:rsidRPr="005E2ADD" w:rsidRDefault="0019138E" w:rsidP="005E2ADD">
      <w:pPr>
        <w:spacing w:line="276" w:lineRule="auto"/>
        <w:ind w:left="-284"/>
        <w:contextualSpacing/>
        <w:jc w:val="both"/>
        <w:rPr>
          <w:rFonts w:asciiTheme="majorHAnsi" w:hAnsiTheme="majorHAnsi"/>
          <w:sz w:val="24"/>
          <w:szCs w:val="24"/>
          <w:lang w:val="pt-PT"/>
        </w:rPr>
      </w:pPr>
      <w:r w:rsidRPr="0062026B">
        <w:rPr>
          <w:rFonts w:asciiTheme="majorHAnsi" w:hAnsiTheme="majorHAnsi"/>
          <w:sz w:val="24"/>
          <w:szCs w:val="24"/>
          <w:lang w:val="pt-PT"/>
        </w:rPr>
        <w:t>Cunha G</w:t>
      </w:r>
      <w:r w:rsidR="00B53C97">
        <w:rPr>
          <w:rFonts w:asciiTheme="majorHAnsi" w:hAnsiTheme="majorHAnsi"/>
          <w:sz w:val="24"/>
          <w:szCs w:val="24"/>
          <w:lang w:val="pt-PT"/>
        </w:rPr>
        <w:t>.</w:t>
      </w:r>
      <w:r w:rsidRPr="0062026B">
        <w:rPr>
          <w:rFonts w:asciiTheme="majorHAnsi" w:hAnsiTheme="majorHAnsi"/>
          <w:sz w:val="24"/>
          <w:szCs w:val="24"/>
          <w:lang w:val="pt-PT"/>
        </w:rPr>
        <w:t>C</w:t>
      </w:r>
      <w:r w:rsidR="00B53C97">
        <w:rPr>
          <w:rFonts w:asciiTheme="majorHAnsi" w:hAnsiTheme="majorHAnsi"/>
          <w:sz w:val="24"/>
          <w:szCs w:val="24"/>
          <w:lang w:val="pt-PT"/>
        </w:rPr>
        <w:t>.</w:t>
      </w:r>
      <w:r w:rsidRPr="0062026B">
        <w:rPr>
          <w:rFonts w:asciiTheme="majorHAnsi" w:hAnsiTheme="majorHAnsi"/>
          <w:sz w:val="24"/>
          <w:szCs w:val="24"/>
          <w:lang w:val="pt-PT"/>
        </w:rPr>
        <w:t xml:space="preserve"> and Santos A</w:t>
      </w:r>
      <w:r w:rsidR="00B53C97">
        <w:rPr>
          <w:rFonts w:asciiTheme="majorHAnsi" w:hAnsiTheme="majorHAnsi"/>
          <w:sz w:val="24"/>
          <w:szCs w:val="24"/>
          <w:lang w:val="pt-PT"/>
        </w:rPr>
        <w:t>.</w:t>
      </w:r>
      <w:r w:rsidRPr="0062026B">
        <w:rPr>
          <w:rFonts w:asciiTheme="majorHAnsi" w:hAnsiTheme="majorHAnsi"/>
          <w:sz w:val="24"/>
          <w:szCs w:val="24"/>
          <w:lang w:val="pt-PT"/>
        </w:rPr>
        <w:t xml:space="preserve">M. 2011. </w:t>
      </w:r>
      <w:r w:rsidR="00B53C97">
        <w:rPr>
          <w:rFonts w:asciiTheme="majorHAnsi" w:hAnsiTheme="majorHAnsi"/>
          <w:sz w:val="24"/>
          <w:szCs w:val="24"/>
          <w:lang w:val="pt-PT"/>
        </w:rPr>
        <w:t>“</w:t>
      </w:r>
      <w:r w:rsidRPr="0062026B">
        <w:rPr>
          <w:rFonts w:asciiTheme="majorHAnsi" w:hAnsiTheme="majorHAnsi"/>
          <w:sz w:val="24"/>
          <w:szCs w:val="24"/>
          <w:lang w:val="pt-PT"/>
        </w:rPr>
        <w:t>Economia Solidária e Pesquisa em Ciências Sociais: Desafios Epistemológicos e Metodológicos</w:t>
      </w:r>
      <w:r w:rsidR="00B53C97">
        <w:rPr>
          <w:rFonts w:asciiTheme="majorHAnsi" w:hAnsiTheme="majorHAnsi"/>
          <w:sz w:val="24"/>
          <w:szCs w:val="24"/>
          <w:lang w:val="pt-PT"/>
        </w:rPr>
        <w:t>”</w:t>
      </w:r>
      <w:r w:rsidRPr="0062026B">
        <w:rPr>
          <w:rFonts w:asciiTheme="majorHAnsi" w:hAnsiTheme="majorHAnsi"/>
          <w:sz w:val="24"/>
          <w:szCs w:val="24"/>
          <w:lang w:val="pt-PT"/>
        </w:rPr>
        <w:t xml:space="preserve"> [Solidarity Economy and Social Science </w:t>
      </w:r>
      <w:r w:rsidRPr="00B53C97">
        <w:rPr>
          <w:rFonts w:asciiTheme="majorHAnsi" w:hAnsiTheme="majorHAnsi"/>
          <w:sz w:val="24"/>
          <w:szCs w:val="24"/>
        </w:rPr>
        <w:t xml:space="preserve">Research: Theoretical and Epistemological Challenges]. in </w:t>
      </w:r>
      <w:proofErr w:type="spellStart"/>
      <w:r w:rsidRPr="00B53C97">
        <w:rPr>
          <w:rFonts w:asciiTheme="majorHAnsi" w:hAnsiTheme="majorHAnsi"/>
          <w:sz w:val="24"/>
          <w:szCs w:val="24"/>
        </w:rPr>
        <w:t>Hespanha</w:t>
      </w:r>
      <w:proofErr w:type="spellEnd"/>
      <w:r w:rsidRPr="00B53C97">
        <w:rPr>
          <w:rFonts w:asciiTheme="majorHAnsi" w:hAnsiTheme="majorHAnsi"/>
          <w:sz w:val="24"/>
          <w:szCs w:val="24"/>
        </w:rPr>
        <w:t xml:space="preserve">, P. </w:t>
      </w:r>
    </w:p>
    <w:p w:rsidR="0019138E" w:rsidRPr="005E2ADD" w:rsidRDefault="0019138E" w:rsidP="005E2ADD">
      <w:pPr>
        <w:spacing w:line="276" w:lineRule="auto"/>
        <w:ind w:left="-284"/>
        <w:contextualSpacing/>
        <w:jc w:val="both"/>
        <w:rPr>
          <w:rFonts w:asciiTheme="majorHAnsi" w:hAnsiTheme="majorHAnsi"/>
          <w:sz w:val="24"/>
          <w:szCs w:val="24"/>
          <w:lang w:val="pt-PT"/>
        </w:rPr>
      </w:pPr>
      <w:r w:rsidRPr="0062026B">
        <w:rPr>
          <w:rFonts w:asciiTheme="majorHAnsi" w:hAnsiTheme="majorHAnsi"/>
          <w:sz w:val="24"/>
          <w:szCs w:val="24"/>
          <w:lang w:val="pt-PT"/>
        </w:rPr>
        <w:t xml:space="preserve">and A. M. Santos (Orgs.), </w:t>
      </w:r>
      <w:r w:rsidRPr="0062026B">
        <w:rPr>
          <w:rFonts w:asciiTheme="majorHAnsi" w:hAnsiTheme="majorHAnsi"/>
          <w:i/>
          <w:sz w:val="24"/>
          <w:szCs w:val="24"/>
          <w:lang w:val="pt-PT"/>
        </w:rPr>
        <w:t>Economia Solidária: Questões Teóricas e Epistemológicas</w:t>
      </w:r>
      <w:r w:rsidR="005E2ADD">
        <w:rPr>
          <w:rFonts w:asciiTheme="majorHAnsi" w:hAnsiTheme="majorHAnsi"/>
          <w:sz w:val="24"/>
          <w:szCs w:val="24"/>
          <w:lang w:val="pt-PT"/>
        </w:rPr>
        <w:t xml:space="preserve">. </w:t>
      </w:r>
      <w:r w:rsidRPr="007C23BE">
        <w:rPr>
          <w:rFonts w:asciiTheme="majorHAnsi" w:hAnsiTheme="majorHAnsi"/>
          <w:sz w:val="24"/>
          <w:szCs w:val="24"/>
        </w:rPr>
        <w:t xml:space="preserve">[Solidarity Economy: Theoretical and Epistemological Questions]. </w:t>
      </w:r>
      <w:r w:rsidRPr="004F20B1">
        <w:rPr>
          <w:rFonts w:asciiTheme="majorHAnsi" w:hAnsiTheme="majorHAnsi"/>
          <w:sz w:val="24"/>
          <w:szCs w:val="24"/>
        </w:rPr>
        <w:t xml:space="preserve">Coimbra: </w:t>
      </w:r>
      <w:proofErr w:type="spellStart"/>
      <w:r w:rsidRPr="004F20B1">
        <w:rPr>
          <w:rFonts w:asciiTheme="majorHAnsi" w:hAnsiTheme="majorHAnsi"/>
          <w:sz w:val="24"/>
          <w:szCs w:val="24"/>
        </w:rPr>
        <w:t>Almedina</w:t>
      </w:r>
      <w:proofErr w:type="spellEnd"/>
      <w:r w:rsidR="00B53C97" w:rsidRPr="004F20B1">
        <w:rPr>
          <w:rFonts w:asciiTheme="majorHAnsi" w:hAnsiTheme="majorHAnsi"/>
          <w:sz w:val="24"/>
          <w:szCs w:val="24"/>
        </w:rPr>
        <w:t>, pp. 15-56.</w:t>
      </w:r>
    </w:p>
    <w:p w:rsidR="0019138E" w:rsidRPr="005E2ADD" w:rsidRDefault="0019138E" w:rsidP="005E2ADD">
      <w:pPr>
        <w:spacing w:line="276" w:lineRule="auto"/>
        <w:ind w:left="-284"/>
        <w:contextualSpacing/>
        <w:jc w:val="both"/>
        <w:rPr>
          <w:rFonts w:asciiTheme="majorHAnsi" w:hAnsiTheme="majorHAnsi"/>
          <w:i/>
          <w:sz w:val="24"/>
          <w:szCs w:val="24"/>
        </w:rPr>
      </w:pPr>
      <w:proofErr w:type="spellStart"/>
      <w:r w:rsidRPr="004F20B1">
        <w:rPr>
          <w:rFonts w:asciiTheme="majorHAnsi" w:hAnsiTheme="majorHAnsi"/>
          <w:sz w:val="24"/>
          <w:szCs w:val="24"/>
        </w:rPr>
        <w:lastRenderedPageBreak/>
        <w:t>Defourny</w:t>
      </w:r>
      <w:proofErr w:type="spellEnd"/>
      <w:r w:rsidRPr="004F20B1">
        <w:rPr>
          <w:rFonts w:asciiTheme="majorHAnsi" w:hAnsiTheme="majorHAnsi"/>
          <w:sz w:val="24"/>
          <w:szCs w:val="24"/>
        </w:rPr>
        <w:t xml:space="preserve"> J</w:t>
      </w:r>
      <w:r w:rsidR="00B53C97" w:rsidRPr="004F20B1">
        <w:rPr>
          <w:rFonts w:asciiTheme="majorHAnsi" w:hAnsiTheme="majorHAnsi"/>
          <w:sz w:val="24"/>
          <w:szCs w:val="24"/>
        </w:rPr>
        <w:t>.</w:t>
      </w:r>
      <w:r w:rsidRPr="004F20B1">
        <w:rPr>
          <w:rFonts w:asciiTheme="majorHAnsi" w:hAnsiTheme="majorHAnsi"/>
          <w:sz w:val="24"/>
          <w:szCs w:val="24"/>
        </w:rPr>
        <w:t xml:space="preserve"> (Dir.). 2001. </w:t>
      </w:r>
      <w:proofErr w:type="spellStart"/>
      <w:r w:rsidRPr="004F20B1">
        <w:rPr>
          <w:rFonts w:asciiTheme="majorHAnsi" w:hAnsiTheme="majorHAnsi"/>
          <w:i/>
          <w:sz w:val="24"/>
          <w:szCs w:val="24"/>
        </w:rPr>
        <w:t>Economie</w:t>
      </w:r>
      <w:proofErr w:type="spellEnd"/>
      <w:r w:rsidRPr="004F20B1">
        <w:rPr>
          <w:rFonts w:asciiTheme="majorHAnsi" w:hAnsiTheme="majorHAnsi"/>
          <w:i/>
          <w:sz w:val="24"/>
          <w:szCs w:val="24"/>
        </w:rPr>
        <w:t xml:space="preserve"> </w:t>
      </w:r>
      <w:proofErr w:type="spellStart"/>
      <w:r w:rsidRPr="004F20B1">
        <w:rPr>
          <w:rFonts w:asciiTheme="majorHAnsi" w:hAnsiTheme="majorHAnsi"/>
          <w:i/>
          <w:sz w:val="24"/>
          <w:szCs w:val="24"/>
        </w:rPr>
        <w:t>Sociale</w:t>
      </w:r>
      <w:proofErr w:type="spellEnd"/>
      <w:r w:rsidRPr="004F20B1">
        <w:rPr>
          <w:rFonts w:asciiTheme="majorHAnsi" w:hAnsiTheme="majorHAnsi"/>
          <w:i/>
          <w:sz w:val="24"/>
          <w:szCs w:val="24"/>
        </w:rPr>
        <w:t xml:space="preserve"> – </w:t>
      </w:r>
      <w:proofErr w:type="spellStart"/>
      <w:r w:rsidRPr="004F20B1">
        <w:rPr>
          <w:rFonts w:asciiTheme="majorHAnsi" w:hAnsiTheme="majorHAnsi"/>
          <w:i/>
          <w:sz w:val="24"/>
          <w:szCs w:val="24"/>
        </w:rPr>
        <w:t>enjeux</w:t>
      </w:r>
      <w:proofErr w:type="spellEnd"/>
      <w:r w:rsidRPr="004F20B1">
        <w:rPr>
          <w:rFonts w:asciiTheme="majorHAnsi" w:hAnsiTheme="majorHAnsi"/>
          <w:i/>
          <w:sz w:val="24"/>
          <w:szCs w:val="24"/>
        </w:rPr>
        <w:t xml:space="preserve"> </w:t>
      </w:r>
      <w:proofErr w:type="spellStart"/>
      <w:r w:rsidRPr="004F20B1">
        <w:rPr>
          <w:rFonts w:asciiTheme="majorHAnsi" w:hAnsiTheme="majorHAnsi"/>
          <w:i/>
          <w:sz w:val="24"/>
          <w:szCs w:val="24"/>
        </w:rPr>
        <w:t>conceptuels</w:t>
      </w:r>
      <w:proofErr w:type="spellEnd"/>
      <w:r w:rsidRPr="004F20B1">
        <w:rPr>
          <w:rFonts w:asciiTheme="majorHAnsi" w:hAnsiTheme="majorHAnsi"/>
          <w:i/>
          <w:sz w:val="24"/>
          <w:szCs w:val="24"/>
        </w:rPr>
        <w:t xml:space="preserve">, insertion par le travail et </w:t>
      </w:r>
      <w:r w:rsidRPr="007D6F5B">
        <w:rPr>
          <w:rFonts w:asciiTheme="majorHAnsi" w:hAnsiTheme="majorHAnsi"/>
          <w:i/>
          <w:sz w:val="24"/>
          <w:szCs w:val="24"/>
        </w:rPr>
        <w:t xml:space="preserve">services de </w:t>
      </w:r>
      <w:proofErr w:type="spellStart"/>
      <w:r w:rsidRPr="007D6F5B">
        <w:rPr>
          <w:rFonts w:asciiTheme="majorHAnsi" w:hAnsiTheme="majorHAnsi"/>
          <w:i/>
          <w:sz w:val="24"/>
          <w:szCs w:val="24"/>
        </w:rPr>
        <w:t>proximite</w:t>
      </w:r>
      <w:proofErr w:type="spellEnd"/>
      <w:r w:rsidRPr="007D6F5B">
        <w:rPr>
          <w:rFonts w:asciiTheme="majorHAnsi" w:hAnsiTheme="majorHAnsi"/>
          <w:sz w:val="24"/>
          <w:szCs w:val="24"/>
        </w:rPr>
        <w:t xml:space="preserve">́. </w:t>
      </w:r>
      <w:r w:rsidRPr="0062026B">
        <w:rPr>
          <w:rFonts w:asciiTheme="majorHAnsi" w:hAnsiTheme="majorHAnsi"/>
          <w:sz w:val="24"/>
          <w:szCs w:val="24"/>
          <w:lang w:val="en-GB"/>
        </w:rPr>
        <w:t xml:space="preserve">[Social Economy – Conceptual foundations, labour inclusion and peer-to-per services]. Brussels: Editions De </w:t>
      </w:r>
      <w:proofErr w:type="spellStart"/>
      <w:r w:rsidRPr="0062026B">
        <w:rPr>
          <w:rFonts w:asciiTheme="majorHAnsi" w:hAnsiTheme="majorHAnsi"/>
          <w:sz w:val="24"/>
          <w:szCs w:val="24"/>
          <w:lang w:val="en-GB"/>
        </w:rPr>
        <w:t>Boeck</w:t>
      </w:r>
      <w:proofErr w:type="spellEnd"/>
      <w:r w:rsidRPr="0062026B">
        <w:rPr>
          <w:rFonts w:asciiTheme="majorHAnsi" w:hAnsiTheme="majorHAnsi"/>
          <w:sz w:val="24"/>
          <w:szCs w:val="24"/>
          <w:lang w:val="en-GB"/>
        </w:rPr>
        <w:t xml:space="preserve"> &amp; </w:t>
      </w:r>
      <w:proofErr w:type="spellStart"/>
      <w:r w:rsidRPr="0062026B">
        <w:rPr>
          <w:rFonts w:asciiTheme="majorHAnsi" w:hAnsiTheme="majorHAnsi"/>
          <w:sz w:val="24"/>
          <w:szCs w:val="24"/>
          <w:lang w:val="en-GB"/>
        </w:rPr>
        <w:t>Larcier</w:t>
      </w:r>
      <w:proofErr w:type="spellEnd"/>
      <w:r w:rsidRPr="0062026B">
        <w:rPr>
          <w:rFonts w:asciiTheme="majorHAnsi" w:hAnsiTheme="majorHAnsi"/>
          <w:sz w:val="24"/>
          <w:szCs w:val="24"/>
          <w:lang w:val="en-GB"/>
        </w:rPr>
        <w:t>, s. a.</w:t>
      </w:r>
    </w:p>
    <w:p w:rsidR="0019138E" w:rsidRPr="0062026B" w:rsidRDefault="0019138E" w:rsidP="005E2ADD">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Defourny</w:t>
      </w:r>
      <w:proofErr w:type="spellEnd"/>
      <w:r w:rsidRPr="0062026B">
        <w:rPr>
          <w:rFonts w:asciiTheme="majorHAnsi" w:hAnsiTheme="majorHAnsi"/>
          <w:sz w:val="24"/>
          <w:szCs w:val="24"/>
          <w:lang w:val="en-GB"/>
        </w:rPr>
        <w:t xml:space="preserve"> J</w:t>
      </w:r>
      <w:r w:rsidR="00B53C97">
        <w:rPr>
          <w:rFonts w:asciiTheme="majorHAnsi" w:hAnsiTheme="majorHAnsi"/>
          <w:sz w:val="24"/>
          <w:szCs w:val="24"/>
          <w:lang w:val="en-GB"/>
        </w:rPr>
        <w:t>.</w:t>
      </w:r>
      <w:r w:rsidRPr="0062026B">
        <w:rPr>
          <w:rFonts w:asciiTheme="majorHAnsi" w:hAnsiTheme="majorHAnsi"/>
          <w:sz w:val="24"/>
          <w:szCs w:val="24"/>
          <w:lang w:val="en-GB"/>
        </w:rPr>
        <w:t xml:space="preserve"> (2009) </w:t>
      </w:r>
      <w:proofErr w:type="spellStart"/>
      <w:r w:rsidRPr="0062026B">
        <w:rPr>
          <w:rFonts w:asciiTheme="majorHAnsi" w:hAnsiTheme="majorHAnsi"/>
          <w:sz w:val="24"/>
          <w:szCs w:val="24"/>
          <w:lang w:val="en-GB"/>
        </w:rPr>
        <w:t>Economia</w:t>
      </w:r>
      <w:proofErr w:type="spellEnd"/>
      <w:r w:rsidRPr="0062026B">
        <w:rPr>
          <w:rFonts w:asciiTheme="majorHAnsi" w:hAnsiTheme="majorHAnsi"/>
          <w:sz w:val="24"/>
          <w:szCs w:val="24"/>
          <w:lang w:val="en-GB"/>
        </w:rPr>
        <w:t xml:space="preserve"> Social [Social Econ</w:t>
      </w:r>
      <w:r w:rsidR="00E878C1">
        <w:rPr>
          <w:rFonts w:asciiTheme="majorHAnsi" w:hAnsiTheme="majorHAnsi"/>
          <w:sz w:val="24"/>
          <w:szCs w:val="24"/>
          <w:lang w:val="en-GB"/>
        </w:rPr>
        <w:t xml:space="preserve">omy]. in </w:t>
      </w:r>
      <w:proofErr w:type="spellStart"/>
      <w:r w:rsidR="00E878C1">
        <w:rPr>
          <w:rFonts w:asciiTheme="majorHAnsi" w:hAnsiTheme="majorHAnsi"/>
          <w:sz w:val="24"/>
          <w:szCs w:val="24"/>
          <w:lang w:val="en-GB"/>
        </w:rPr>
        <w:t>Gattani</w:t>
      </w:r>
      <w:proofErr w:type="spellEnd"/>
      <w:r w:rsidR="00E878C1">
        <w:rPr>
          <w:rFonts w:asciiTheme="majorHAnsi" w:hAnsiTheme="majorHAnsi"/>
          <w:sz w:val="24"/>
          <w:szCs w:val="24"/>
          <w:lang w:val="en-GB"/>
        </w:rPr>
        <w:t>, A</w:t>
      </w:r>
      <w:r w:rsidR="007C61AB">
        <w:rPr>
          <w:rFonts w:asciiTheme="majorHAnsi" w:hAnsiTheme="majorHAnsi"/>
          <w:sz w:val="24"/>
          <w:szCs w:val="24"/>
          <w:lang w:val="en-GB"/>
        </w:rPr>
        <w:t xml:space="preserve"> S, J-L</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L</w:t>
      </w:r>
      <w:r w:rsidR="007C23BE">
        <w:rPr>
          <w:rFonts w:asciiTheme="majorHAnsi" w:hAnsiTheme="majorHAnsi"/>
          <w:sz w:val="24"/>
          <w:szCs w:val="24"/>
          <w:lang w:val="en-GB"/>
        </w:rPr>
        <w:t>aville</w:t>
      </w:r>
      <w:proofErr w:type="spellEnd"/>
      <w:r w:rsidRPr="0062026B">
        <w:rPr>
          <w:rFonts w:asciiTheme="majorHAnsi" w:hAnsiTheme="majorHAnsi"/>
          <w:sz w:val="24"/>
          <w:szCs w:val="24"/>
          <w:lang w:val="en-GB"/>
        </w:rPr>
        <w:t xml:space="preserve"> and L. I. </w:t>
      </w:r>
      <w:proofErr w:type="spellStart"/>
      <w:r w:rsidR="007C23BE">
        <w:rPr>
          <w:rFonts w:asciiTheme="majorHAnsi" w:hAnsiTheme="majorHAnsi"/>
          <w:sz w:val="24"/>
          <w:szCs w:val="24"/>
          <w:lang w:val="en-GB"/>
        </w:rPr>
        <w:t>Gaiger</w:t>
      </w:r>
      <w:proofErr w:type="spellEnd"/>
      <w:r w:rsidRPr="0062026B">
        <w:rPr>
          <w:rFonts w:asciiTheme="majorHAnsi" w:hAnsiTheme="majorHAnsi"/>
          <w:sz w:val="24"/>
          <w:szCs w:val="24"/>
          <w:lang w:val="en-GB"/>
        </w:rPr>
        <w:t>, et. al (</w:t>
      </w:r>
      <w:proofErr w:type="spellStart"/>
      <w:r w:rsidRPr="0062026B">
        <w:rPr>
          <w:rFonts w:asciiTheme="majorHAnsi" w:hAnsiTheme="majorHAnsi"/>
          <w:sz w:val="24"/>
          <w:szCs w:val="24"/>
          <w:lang w:val="en-GB"/>
        </w:rPr>
        <w:t>coord</w:t>
      </w:r>
      <w:proofErr w:type="spellEnd"/>
      <w:r w:rsidRPr="0062026B">
        <w:rPr>
          <w:rFonts w:asciiTheme="majorHAnsi" w:hAnsiTheme="majorHAnsi"/>
          <w:sz w:val="24"/>
          <w:szCs w:val="24"/>
          <w:lang w:val="en-GB"/>
        </w:rPr>
        <w:t xml:space="preserve">.). </w:t>
      </w:r>
      <w:r w:rsidRPr="007D6F5B">
        <w:rPr>
          <w:rFonts w:asciiTheme="majorHAnsi" w:hAnsiTheme="majorHAnsi"/>
          <w:i/>
          <w:sz w:val="24"/>
          <w:szCs w:val="24"/>
          <w:lang w:val="pt-PT"/>
        </w:rPr>
        <w:t>Dicionário Internacional da Outra Economia</w:t>
      </w:r>
      <w:r w:rsidRPr="007D6F5B">
        <w:rPr>
          <w:rFonts w:asciiTheme="majorHAnsi" w:hAnsiTheme="majorHAnsi"/>
          <w:sz w:val="24"/>
          <w:szCs w:val="24"/>
          <w:lang w:val="pt-PT"/>
        </w:rPr>
        <w:t xml:space="preserve"> [International Dictionary of Economic Alternatives]. </w:t>
      </w:r>
      <w:r w:rsidRPr="0062026B">
        <w:rPr>
          <w:rFonts w:asciiTheme="majorHAnsi" w:hAnsiTheme="majorHAnsi"/>
          <w:sz w:val="24"/>
          <w:szCs w:val="24"/>
          <w:lang w:val="en-GB"/>
        </w:rPr>
        <w:t xml:space="preserve">Coimbra: </w:t>
      </w:r>
      <w:proofErr w:type="spellStart"/>
      <w:r w:rsidRPr="0062026B">
        <w:rPr>
          <w:rFonts w:asciiTheme="majorHAnsi" w:hAnsiTheme="majorHAnsi"/>
          <w:sz w:val="24"/>
          <w:szCs w:val="24"/>
          <w:lang w:val="en-GB"/>
        </w:rPr>
        <w:t>Almedina</w:t>
      </w:r>
      <w:proofErr w:type="spellEnd"/>
      <w:r w:rsidRPr="0062026B">
        <w:rPr>
          <w:rFonts w:asciiTheme="majorHAnsi" w:hAnsiTheme="majorHAnsi"/>
          <w:sz w:val="24"/>
          <w:szCs w:val="24"/>
          <w:lang w:val="en-GB"/>
        </w:rPr>
        <w:t>.</w:t>
      </w:r>
      <w:r w:rsidR="00B53C97" w:rsidRPr="00B53C97">
        <w:rPr>
          <w:rFonts w:asciiTheme="majorHAnsi" w:hAnsiTheme="majorHAnsi"/>
          <w:sz w:val="24"/>
          <w:szCs w:val="24"/>
          <w:lang w:val="en-GB"/>
        </w:rPr>
        <w:t xml:space="preserve"> </w:t>
      </w:r>
      <w:r w:rsidR="00B53C97">
        <w:rPr>
          <w:rFonts w:asciiTheme="majorHAnsi" w:hAnsiTheme="majorHAnsi"/>
          <w:sz w:val="24"/>
          <w:szCs w:val="24"/>
          <w:lang w:val="en-GB"/>
        </w:rPr>
        <w:t>pp. 156-161</w:t>
      </w:r>
      <w:r w:rsidR="008C0B89">
        <w:rPr>
          <w:rFonts w:asciiTheme="majorHAnsi" w:hAnsiTheme="majorHAnsi"/>
          <w:sz w:val="24"/>
          <w:szCs w:val="24"/>
          <w:lang w:val="en-GB"/>
        </w:rPr>
        <w:t>.</w:t>
      </w:r>
    </w:p>
    <w:p w:rsidR="0019138E" w:rsidRPr="0062026B" w:rsidRDefault="0019138E" w:rsidP="005E2ADD">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Defourny</w:t>
      </w:r>
      <w:proofErr w:type="spellEnd"/>
      <w:r w:rsidRPr="0062026B">
        <w:rPr>
          <w:rFonts w:asciiTheme="majorHAnsi" w:hAnsiTheme="majorHAnsi"/>
          <w:sz w:val="24"/>
          <w:szCs w:val="24"/>
          <w:lang w:val="en-GB"/>
        </w:rPr>
        <w:t xml:space="preserve"> J</w:t>
      </w:r>
      <w:r w:rsidR="00B53C97">
        <w:rPr>
          <w:rFonts w:asciiTheme="majorHAnsi" w:hAnsiTheme="majorHAnsi"/>
          <w:sz w:val="24"/>
          <w:szCs w:val="24"/>
          <w:lang w:val="en-GB"/>
        </w:rPr>
        <w:t>.</w:t>
      </w:r>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Borzaga</w:t>
      </w:r>
      <w:proofErr w:type="spellEnd"/>
      <w:r w:rsidRPr="0062026B">
        <w:rPr>
          <w:rFonts w:asciiTheme="majorHAnsi" w:hAnsiTheme="majorHAnsi"/>
          <w:sz w:val="24"/>
          <w:szCs w:val="24"/>
          <w:lang w:val="en-GB"/>
        </w:rPr>
        <w:t xml:space="preserve"> C</w:t>
      </w:r>
      <w:r w:rsidR="00B53C97">
        <w:rPr>
          <w:rFonts w:asciiTheme="majorHAnsi" w:hAnsiTheme="majorHAnsi"/>
          <w:sz w:val="24"/>
          <w:szCs w:val="24"/>
          <w:lang w:val="en-GB"/>
        </w:rPr>
        <w:t>. (e</w:t>
      </w:r>
      <w:r w:rsidRPr="0062026B">
        <w:rPr>
          <w:rFonts w:asciiTheme="majorHAnsi" w:hAnsiTheme="majorHAnsi"/>
          <w:sz w:val="24"/>
          <w:szCs w:val="24"/>
          <w:lang w:val="en-GB"/>
        </w:rPr>
        <w:t xml:space="preserve">ds.). 2001. </w:t>
      </w:r>
      <w:r w:rsidRPr="0062026B">
        <w:rPr>
          <w:rFonts w:asciiTheme="majorHAnsi" w:hAnsiTheme="majorHAnsi"/>
          <w:i/>
          <w:sz w:val="24"/>
          <w:szCs w:val="24"/>
          <w:lang w:val="en-GB"/>
        </w:rPr>
        <w:t>The Emergence of Social Enterprise</w:t>
      </w:r>
      <w:r w:rsidRPr="0062026B">
        <w:rPr>
          <w:rFonts w:asciiTheme="majorHAnsi" w:hAnsiTheme="majorHAnsi"/>
          <w:sz w:val="24"/>
          <w:szCs w:val="24"/>
          <w:lang w:val="en-GB"/>
        </w:rPr>
        <w:t xml:space="preserve">. London: </w:t>
      </w:r>
      <w:proofErr w:type="spellStart"/>
      <w:r w:rsidRPr="0062026B">
        <w:rPr>
          <w:rFonts w:asciiTheme="majorHAnsi" w:hAnsiTheme="majorHAnsi"/>
          <w:sz w:val="24"/>
          <w:szCs w:val="24"/>
          <w:lang w:val="en-GB"/>
        </w:rPr>
        <w:t>Routledge</w:t>
      </w:r>
      <w:proofErr w:type="spellEnd"/>
      <w:r w:rsidR="00B53C97">
        <w:rPr>
          <w:rFonts w:asciiTheme="majorHAnsi" w:hAnsiTheme="majorHAnsi"/>
          <w:sz w:val="24"/>
          <w:szCs w:val="24"/>
          <w:lang w:val="en-GB"/>
        </w:rPr>
        <w:t>.</w:t>
      </w:r>
    </w:p>
    <w:p w:rsidR="0019138E" w:rsidRPr="007D6F5B" w:rsidRDefault="0019138E" w:rsidP="005E2ADD">
      <w:pPr>
        <w:spacing w:line="276" w:lineRule="auto"/>
        <w:ind w:left="-284"/>
        <w:contextualSpacing/>
        <w:jc w:val="both"/>
        <w:rPr>
          <w:rFonts w:asciiTheme="majorHAnsi" w:hAnsiTheme="majorHAnsi"/>
          <w:sz w:val="24"/>
          <w:szCs w:val="24"/>
          <w:lang w:val="pt-PT"/>
        </w:rPr>
      </w:pPr>
      <w:proofErr w:type="spellStart"/>
      <w:r w:rsidRPr="0062026B">
        <w:rPr>
          <w:rFonts w:asciiTheme="majorHAnsi" w:hAnsiTheme="majorHAnsi"/>
          <w:sz w:val="24"/>
          <w:szCs w:val="24"/>
          <w:lang w:val="en-GB"/>
        </w:rPr>
        <w:t>Dregger</w:t>
      </w:r>
      <w:proofErr w:type="spellEnd"/>
      <w:r w:rsidRPr="0062026B">
        <w:rPr>
          <w:rFonts w:asciiTheme="majorHAnsi" w:hAnsiTheme="majorHAnsi"/>
          <w:sz w:val="24"/>
          <w:szCs w:val="24"/>
          <w:lang w:val="en-GB"/>
        </w:rPr>
        <w:t xml:space="preserve"> L</w:t>
      </w:r>
      <w:r w:rsidR="00B53C97">
        <w:rPr>
          <w:rFonts w:asciiTheme="majorHAnsi" w:hAnsiTheme="majorHAnsi"/>
          <w:sz w:val="24"/>
          <w:szCs w:val="24"/>
          <w:lang w:val="en-GB"/>
        </w:rPr>
        <w:t>.</w:t>
      </w:r>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Joubert</w:t>
      </w:r>
      <w:proofErr w:type="spellEnd"/>
      <w:r w:rsidRPr="0062026B">
        <w:rPr>
          <w:rFonts w:asciiTheme="majorHAnsi" w:hAnsiTheme="majorHAnsi"/>
          <w:sz w:val="24"/>
          <w:szCs w:val="24"/>
          <w:lang w:val="en-GB"/>
        </w:rPr>
        <w:t xml:space="preserve"> K</w:t>
      </w:r>
      <w:r w:rsidR="00B53C97">
        <w:rPr>
          <w:rFonts w:asciiTheme="majorHAnsi" w:hAnsiTheme="majorHAnsi"/>
          <w:sz w:val="24"/>
          <w:szCs w:val="24"/>
          <w:lang w:val="en-GB"/>
        </w:rPr>
        <w:t>.</w:t>
      </w:r>
      <w:r w:rsidRPr="0062026B">
        <w:rPr>
          <w:rFonts w:asciiTheme="majorHAnsi" w:hAnsiTheme="majorHAnsi"/>
          <w:sz w:val="24"/>
          <w:szCs w:val="24"/>
          <w:lang w:val="en-GB"/>
        </w:rPr>
        <w:t xml:space="preserve"> (2015) </w:t>
      </w:r>
      <w:proofErr w:type="spellStart"/>
      <w:r w:rsidRPr="0062026B">
        <w:rPr>
          <w:rFonts w:asciiTheme="majorHAnsi" w:hAnsiTheme="majorHAnsi"/>
          <w:i/>
          <w:sz w:val="24"/>
          <w:szCs w:val="24"/>
          <w:lang w:val="en-GB"/>
        </w:rPr>
        <w:t>Ecovillage</w:t>
      </w:r>
      <w:proofErr w:type="spellEnd"/>
      <w:r w:rsidRPr="0062026B">
        <w:rPr>
          <w:rFonts w:asciiTheme="majorHAnsi" w:hAnsiTheme="majorHAnsi"/>
          <w:i/>
          <w:sz w:val="24"/>
          <w:szCs w:val="24"/>
          <w:lang w:val="en-GB"/>
        </w:rPr>
        <w:t>: 1001 Ways to Heal the Planet</w:t>
      </w:r>
      <w:r w:rsidRPr="0062026B">
        <w:rPr>
          <w:rFonts w:asciiTheme="majorHAnsi" w:hAnsiTheme="majorHAnsi"/>
          <w:sz w:val="24"/>
          <w:szCs w:val="24"/>
          <w:lang w:val="en-GB"/>
        </w:rPr>
        <w:t xml:space="preserve">. </w:t>
      </w:r>
      <w:r w:rsidRPr="007D6F5B">
        <w:rPr>
          <w:rFonts w:asciiTheme="majorHAnsi" w:hAnsiTheme="majorHAnsi"/>
          <w:sz w:val="24"/>
          <w:szCs w:val="24"/>
          <w:lang w:val="pt-PT"/>
        </w:rPr>
        <w:t xml:space="preserve">Axminster, Devon, UK: Triarchy Press Ltd. </w:t>
      </w:r>
    </w:p>
    <w:p w:rsidR="0019138E" w:rsidRPr="005E2ADD" w:rsidRDefault="0019138E" w:rsidP="005E2ADD">
      <w:pPr>
        <w:spacing w:line="276" w:lineRule="auto"/>
        <w:ind w:left="-284"/>
        <w:contextualSpacing/>
        <w:jc w:val="both"/>
        <w:rPr>
          <w:rFonts w:asciiTheme="majorHAnsi" w:hAnsiTheme="majorHAnsi"/>
          <w:i/>
          <w:sz w:val="24"/>
          <w:szCs w:val="24"/>
          <w:lang w:val="pt-PT"/>
        </w:rPr>
      </w:pPr>
      <w:r w:rsidRPr="007D6F5B">
        <w:rPr>
          <w:rFonts w:asciiTheme="majorHAnsi" w:hAnsiTheme="majorHAnsi"/>
          <w:sz w:val="24"/>
          <w:szCs w:val="24"/>
          <w:lang w:val="pt-PT"/>
        </w:rPr>
        <w:t>Estivill J</w:t>
      </w:r>
      <w:r w:rsidR="00B53C97" w:rsidRPr="007D6F5B">
        <w:rPr>
          <w:rFonts w:asciiTheme="majorHAnsi" w:hAnsiTheme="majorHAnsi"/>
          <w:sz w:val="24"/>
          <w:szCs w:val="24"/>
          <w:lang w:val="pt-PT"/>
        </w:rPr>
        <w:t>.</w:t>
      </w:r>
      <w:r w:rsidRPr="007D6F5B">
        <w:rPr>
          <w:rFonts w:asciiTheme="majorHAnsi" w:hAnsiTheme="majorHAnsi"/>
          <w:sz w:val="24"/>
          <w:szCs w:val="24"/>
          <w:lang w:val="pt-PT"/>
        </w:rPr>
        <w:t xml:space="preserve"> (2015) Empresas, Empreen</w:t>
      </w:r>
      <w:r w:rsidR="00B53C97" w:rsidRPr="007D6F5B">
        <w:rPr>
          <w:rFonts w:asciiTheme="majorHAnsi" w:hAnsiTheme="majorHAnsi"/>
          <w:sz w:val="24"/>
          <w:szCs w:val="24"/>
          <w:lang w:val="pt-PT"/>
        </w:rPr>
        <w:t>dedurismo y Empresariado Social,</w:t>
      </w:r>
      <w:r w:rsidRPr="007D6F5B">
        <w:rPr>
          <w:rFonts w:asciiTheme="majorHAnsi" w:hAnsiTheme="majorHAnsi"/>
          <w:sz w:val="24"/>
          <w:szCs w:val="24"/>
          <w:lang w:val="pt-PT"/>
        </w:rPr>
        <w:t xml:space="preserve"> </w:t>
      </w:r>
      <w:r w:rsidRPr="007D6F5B">
        <w:rPr>
          <w:rFonts w:asciiTheme="majorHAnsi" w:hAnsiTheme="majorHAnsi"/>
          <w:i/>
          <w:sz w:val="24"/>
          <w:szCs w:val="24"/>
          <w:lang w:val="pt-PT"/>
        </w:rPr>
        <w:t>Revista de Eco</w:t>
      </w:r>
      <w:r w:rsidRPr="0062026B">
        <w:rPr>
          <w:rFonts w:asciiTheme="majorHAnsi" w:hAnsiTheme="majorHAnsi"/>
          <w:i/>
          <w:sz w:val="24"/>
          <w:szCs w:val="24"/>
          <w:lang w:val="pt-PT"/>
        </w:rPr>
        <w:t>nomia Solidária</w:t>
      </w:r>
      <w:r w:rsidR="00B53C97">
        <w:rPr>
          <w:rFonts w:asciiTheme="majorHAnsi" w:hAnsiTheme="majorHAnsi"/>
          <w:sz w:val="24"/>
          <w:szCs w:val="24"/>
          <w:lang w:val="pt-PT"/>
        </w:rPr>
        <w:t>, 8, pp.</w:t>
      </w:r>
      <w:r w:rsidRPr="0062026B">
        <w:rPr>
          <w:rFonts w:asciiTheme="majorHAnsi" w:hAnsiTheme="majorHAnsi"/>
          <w:sz w:val="24"/>
          <w:szCs w:val="24"/>
          <w:lang w:val="pt-PT"/>
        </w:rPr>
        <w:t xml:space="preserve"> 18-49</w:t>
      </w:r>
      <w:r w:rsidR="00B53C97">
        <w:rPr>
          <w:rFonts w:asciiTheme="majorHAnsi" w:hAnsiTheme="majorHAnsi"/>
          <w:sz w:val="24"/>
          <w:szCs w:val="24"/>
          <w:lang w:val="pt-PT"/>
        </w:rPr>
        <w:t>.</w:t>
      </w:r>
    </w:p>
    <w:p w:rsidR="0019138E" w:rsidRPr="005E2ADD" w:rsidRDefault="0019138E" w:rsidP="005E2ADD">
      <w:pPr>
        <w:spacing w:line="276" w:lineRule="auto"/>
        <w:ind w:left="-284"/>
        <w:contextualSpacing/>
        <w:jc w:val="both"/>
        <w:rPr>
          <w:rFonts w:asciiTheme="majorHAnsi" w:hAnsiTheme="majorHAnsi"/>
          <w:sz w:val="24"/>
          <w:szCs w:val="24"/>
          <w:lang w:val="pt-PT"/>
        </w:rPr>
      </w:pPr>
      <w:r w:rsidRPr="0062026B">
        <w:rPr>
          <w:rFonts w:asciiTheme="majorHAnsi" w:hAnsiTheme="majorHAnsi"/>
          <w:sz w:val="24"/>
          <w:szCs w:val="24"/>
          <w:lang w:val="pt-PT"/>
        </w:rPr>
        <w:t>Estivill J</w:t>
      </w:r>
      <w:r w:rsidR="00B53C97">
        <w:rPr>
          <w:rFonts w:asciiTheme="majorHAnsi" w:hAnsiTheme="majorHAnsi"/>
          <w:sz w:val="24"/>
          <w:szCs w:val="24"/>
          <w:lang w:val="pt-PT"/>
        </w:rPr>
        <w:t>.</w:t>
      </w:r>
      <w:r w:rsidRPr="0062026B">
        <w:rPr>
          <w:rFonts w:asciiTheme="majorHAnsi" w:hAnsiTheme="majorHAnsi"/>
          <w:sz w:val="24"/>
          <w:szCs w:val="24"/>
          <w:lang w:val="pt-PT"/>
        </w:rPr>
        <w:t>, Bernier A</w:t>
      </w:r>
      <w:r w:rsidR="00B53C97">
        <w:rPr>
          <w:rFonts w:asciiTheme="majorHAnsi" w:hAnsiTheme="majorHAnsi"/>
          <w:sz w:val="24"/>
          <w:szCs w:val="24"/>
          <w:lang w:val="pt-PT"/>
        </w:rPr>
        <w:t>.</w:t>
      </w:r>
      <w:r w:rsidRPr="0062026B">
        <w:rPr>
          <w:rFonts w:asciiTheme="majorHAnsi" w:hAnsiTheme="majorHAnsi"/>
          <w:sz w:val="24"/>
          <w:szCs w:val="24"/>
          <w:lang w:val="pt-PT"/>
        </w:rPr>
        <w:t xml:space="preserve"> and Valadou C</w:t>
      </w:r>
      <w:r w:rsidR="00B53C97">
        <w:rPr>
          <w:rFonts w:asciiTheme="majorHAnsi" w:hAnsiTheme="majorHAnsi"/>
          <w:sz w:val="24"/>
          <w:szCs w:val="24"/>
          <w:lang w:val="pt-PT"/>
        </w:rPr>
        <w:t>.</w:t>
      </w:r>
      <w:r w:rsidRPr="0062026B">
        <w:rPr>
          <w:rFonts w:asciiTheme="majorHAnsi" w:hAnsiTheme="majorHAnsi"/>
          <w:sz w:val="24"/>
          <w:szCs w:val="24"/>
          <w:lang w:val="pt-PT"/>
        </w:rPr>
        <w:t>H</w:t>
      </w:r>
      <w:r w:rsidR="00B53C97">
        <w:rPr>
          <w:rFonts w:asciiTheme="majorHAnsi" w:hAnsiTheme="majorHAnsi"/>
          <w:sz w:val="24"/>
          <w:szCs w:val="24"/>
          <w:lang w:val="pt-PT"/>
        </w:rPr>
        <w:t>.</w:t>
      </w:r>
      <w:r w:rsidRPr="0062026B">
        <w:rPr>
          <w:rFonts w:asciiTheme="majorHAnsi" w:hAnsiTheme="majorHAnsi"/>
          <w:sz w:val="24"/>
          <w:szCs w:val="24"/>
          <w:lang w:val="pt-PT"/>
        </w:rPr>
        <w:t xml:space="preserve"> (1997) </w:t>
      </w:r>
      <w:r w:rsidRPr="0062026B">
        <w:rPr>
          <w:rFonts w:asciiTheme="majorHAnsi" w:hAnsiTheme="majorHAnsi"/>
          <w:i/>
          <w:sz w:val="24"/>
          <w:szCs w:val="24"/>
          <w:lang w:val="pt-PT"/>
        </w:rPr>
        <w:t>Las Empresas Sociales en Europa</w:t>
      </w:r>
      <w:r w:rsidR="005E2ADD">
        <w:rPr>
          <w:rFonts w:asciiTheme="majorHAnsi" w:hAnsiTheme="majorHAnsi"/>
          <w:sz w:val="24"/>
          <w:szCs w:val="24"/>
          <w:lang w:val="pt-PT"/>
        </w:rPr>
        <w:t xml:space="preserve"> [Social </w:t>
      </w:r>
      <w:r w:rsidRPr="007D6F5B">
        <w:rPr>
          <w:rFonts w:asciiTheme="majorHAnsi" w:hAnsiTheme="majorHAnsi"/>
          <w:sz w:val="24"/>
          <w:szCs w:val="24"/>
        </w:rPr>
        <w:t xml:space="preserve">Enterprises in Europe]. Barcelona: European Commission DG V, </w:t>
      </w:r>
      <w:proofErr w:type="spellStart"/>
      <w:r w:rsidRPr="007D6F5B">
        <w:rPr>
          <w:rFonts w:asciiTheme="majorHAnsi" w:hAnsiTheme="majorHAnsi"/>
          <w:sz w:val="24"/>
          <w:szCs w:val="24"/>
        </w:rPr>
        <w:t>Hacer</w:t>
      </w:r>
      <w:proofErr w:type="spellEnd"/>
      <w:r w:rsidRPr="007D6F5B">
        <w:rPr>
          <w:rFonts w:asciiTheme="majorHAnsi" w:hAnsiTheme="majorHAnsi"/>
          <w:sz w:val="24"/>
          <w:szCs w:val="24"/>
        </w:rPr>
        <w:t xml:space="preserve"> Editorial</w:t>
      </w:r>
      <w:r w:rsidR="00B53C97" w:rsidRPr="007D6F5B">
        <w:rPr>
          <w:rFonts w:asciiTheme="majorHAnsi" w:hAnsiTheme="majorHAnsi"/>
          <w:sz w:val="24"/>
          <w:szCs w:val="24"/>
        </w:rPr>
        <w:t>.</w:t>
      </w:r>
    </w:p>
    <w:p w:rsidR="0019138E" w:rsidRPr="005E2ADD" w:rsidRDefault="0019138E" w:rsidP="005E2ADD">
      <w:pPr>
        <w:spacing w:line="276" w:lineRule="auto"/>
        <w:ind w:left="-284"/>
        <w:contextualSpacing/>
        <w:jc w:val="both"/>
        <w:rPr>
          <w:rFonts w:asciiTheme="majorHAnsi" w:hAnsiTheme="majorHAnsi"/>
          <w:i/>
          <w:sz w:val="24"/>
          <w:szCs w:val="24"/>
          <w:lang w:val="en-GB"/>
        </w:rPr>
      </w:pPr>
      <w:proofErr w:type="spellStart"/>
      <w:r w:rsidRPr="0062026B">
        <w:rPr>
          <w:rFonts w:asciiTheme="majorHAnsi" w:hAnsiTheme="majorHAnsi"/>
          <w:sz w:val="24"/>
          <w:szCs w:val="24"/>
          <w:lang w:val="en-GB"/>
        </w:rPr>
        <w:t>Elkington</w:t>
      </w:r>
      <w:proofErr w:type="spellEnd"/>
      <w:r w:rsidRPr="0062026B">
        <w:rPr>
          <w:rFonts w:asciiTheme="majorHAnsi" w:hAnsiTheme="majorHAnsi"/>
          <w:sz w:val="24"/>
          <w:szCs w:val="24"/>
          <w:lang w:val="en-GB"/>
        </w:rPr>
        <w:t xml:space="preserve"> J</w:t>
      </w:r>
      <w:r w:rsidR="00B53C97">
        <w:rPr>
          <w:rFonts w:asciiTheme="majorHAnsi" w:hAnsiTheme="majorHAnsi"/>
          <w:sz w:val="24"/>
          <w:szCs w:val="24"/>
          <w:lang w:val="en-GB"/>
        </w:rPr>
        <w:t>.</w:t>
      </w:r>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Hartigan</w:t>
      </w:r>
      <w:proofErr w:type="spellEnd"/>
      <w:r w:rsidRPr="0062026B">
        <w:rPr>
          <w:rFonts w:asciiTheme="majorHAnsi" w:hAnsiTheme="majorHAnsi"/>
          <w:sz w:val="24"/>
          <w:szCs w:val="24"/>
          <w:lang w:val="en-GB"/>
        </w:rPr>
        <w:t xml:space="preserve"> P</w:t>
      </w:r>
      <w:r w:rsidR="00B53C97">
        <w:rPr>
          <w:rFonts w:asciiTheme="majorHAnsi" w:hAnsiTheme="majorHAnsi"/>
          <w:sz w:val="24"/>
          <w:szCs w:val="24"/>
          <w:lang w:val="en-GB"/>
        </w:rPr>
        <w:t>.</w:t>
      </w:r>
      <w:r w:rsidRPr="0062026B">
        <w:rPr>
          <w:rFonts w:asciiTheme="majorHAnsi" w:hAnsiTheme="majorHAnsi"/>
          <w:sz w:val="24"/>
          <w:szCs w:val="24"/>
          <w:lang w:val="en-GB"/>
        </w:rPr>
        <w:t xml:space="preserve"> (2008) </w:t>
      </w:r>
      <w:r w:rsidRPr="0062026B">
        <w:rPr>
          <w:rFonts w:asciiTheme="majorHAnsi" w:hAnsiTheme="majorHAnsi"/>
          <w:i/>
          <w:sz w:val="24"/>
          <w:szCs w:val="24"/>
          <w:lang w:val="en-GB"/>
        </w:rPr>
        <w:t>The Power of Unreasonable People: How Entrepreneurs Creates Markets to Change the World</w:t>
      </w:r>
      <w:r w:rsidRPr="0062026B">
        <w:rPr>
          <w:rFonts w:asciiTheme="majorHAnsi" w:hAnsiTheme="majorHAnsi"/>
          <w:sz w:val="24"/>
          <w:szCs w:val="24"/>
          <w:lang w:val="en-GB"/>
        </w:rPr>
        <w:t>. Boston, MA: Harvard Business Press</w:t>
      </w:r>
      <w:r w:rsidR="00B53C97">
        <w:rPr>
          <w:rFonts w:asciiTheme="majorHAnsi" w:hAnsiTheme="majorHAnsi"/>
          <w:sz w:val="24"/>
          <w:szCs w:val="24"/>
          <w:lang w:val="en-GB"/>
        </w:rPr>
        <w:t>.</w:t>
      </w:r>
    </w:p>
    <w:p w:rsidR="0019138E" w:rsidRPr="005E2ADD" w:rsidRDefault="0019138E" w:rsidP="005E2ADD">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Harland M</w:t>
      </w:r>
      <w:r w:rsidR="00B53C97">
        <w:rPr>
          <w:rFonts w:asciiTheme="majorHAnsi" w:hAnsiTheme="majorHAnsi"/>
          <w:sz w:val="24"/>
          <w:szCs w:val="24"/>
          <w:lang w:val="en-GB"/>
        </w:rPr>
        <w:t>.</w:t>
      </w:r>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Keepin</w:t>
      </w:r>
      <w:proofErr w:type="spellEnd"/>
      <w:r w:rsidRPr="0062026B">
        <w:rPr>
          <w:rFonts w:asciiTheme="majorHAnsi" w:hAnsiTheme="majorHAnsi"/>
          <w:sz w:val="24"/>
          <w:szCs w:val="24"/>
          <w:lang w:val="en-GB"/>
        </w:rPr>
        <w:t xml:space="preserve"> W</w:t>
      </w:r>
      <w:r w:rsidR="00B53C97">
        <w:rPr>
          <w:rFonts w:asciiTheme="majorHAnsi" w:hAnsiTheme="majorHAnsi"/>
          <w:sz w:val="24"/>
          <w:szCs w:val="24"/>
          <w:lang w:val="en-GB"/>
        </w:rPr>
        <w:t>.</w:t>
      </w:r>
      <w:r w:rsidRPr="0062026B">
        <w:rPr>
          <w:rFonts w:asciiTheme="majorHAnsi" w:hAnsiTheme="majorHAnsi"/>
          <w:sz w:val="24"/>
          <w:szCs w:val="24"/>
          <w:lang w:val="en-GB"/>
        </w:rPr>
        <w:t xml:space="preserve"> (ed.) (2014) </w:t>
      </w:r>
      <w:r w:rsidRPr="0062026B">
        <w:rPr>
          <w:rFonts w:asciiTheme="majorHAnsi" w:hAnsiTheme="majorHAnsi"/>
          <w:i/>
          <w:sz w:val="24"/>
          <w:szCs w:val="24"/>
          <w:lang w:val="en-GB"/>
        </w:rPr>
        <w:t>The Song of the Earth: A Synthesis of the Scientific and Spiritual Worldviews (4 Keys to Sustainable Communities), 2</w:t>
      </w:r>
      <w:r w:rsidRPr="0062026B">
        <w:rPr>
          <w:rFonts w:asciiTheme="majorHAnsi" w:hAnsiTheme="majorHAnsi"/>
          <w:i/>
          <w:sz w:val="24"/>
          <w:szCs w:val="24"/>
          <w:vertAlign w:val="superscript"/>
          <w:lang w:val="en-GB"/>
        </w:rPr>
        <w:t>nd</w:t>
      </w:r>
      <w:r w:rsidRPr="0062026B">
        <w:rPr>
          <w:rFonts w:asciiTheme="majorHAnsi" w:hAnsiTheme="majorHAnsi"/>
          <w:i/>
          <w:sz w:val="24"/>
          <w:szCs w:val="24"/>
          <w:lang w:val="en-GB"/>
        </w:rPr>
        <w:t xml:space="preserve"> edition</w:t>
      </w:r>
      <w:r w:rsidRPr="0062026B">
        <w:rPr>
          <w:rFonts w:asciiTheme="majorHAnsi" w:hAnsiTheme="majorHAnsi"/>
          <w:sz w:val="24"/>
          <w:szCs w:val="24"/>
          <w:lang w:val="en-GB"/>
        </w:rPr>
        <w:t>. Hampshire, UK: Permanent Publications</w:t>
      </w:r>
      <w:r w:rsidR="00B53EB2">
        <w:rPr>
          <w:rFonts w:asciiTheme="majorHAnsi" w:hAnsiTheme="majorHAnsi"/>
          <w:sz w:val="24"/>
          <w:szCs w:val="24"/>
          <w:lang w:val="en-GB"/>
        </w:rPr>
        <w:t>.</w:t>
      </w:r>
    </w:p>
    <w:p w:rsidR="0019138E" w:rsidRPr="0062026B" w:rsidRDefault="0019138E" w:rsidP="005E2ADD">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Inglehart</w:t>
      </w:r>
      <w:proofErr w:type="spellEnd"/>
      <w:r w:rsidRPr="0062026B">
        <w:rPr>
          <w:rFonts w:asciiTheme="majorHAnsi" w:hAnsiTheme="majorHAnsi"/>
          <w:sz w:val="24"/>
          <w:szCs w:val="24"/>
          <w:lang w:val="en-GB"/>
        </w:rPr>
        <w:t xml:space="preserve"> R</w:t>
      </w:r>
      <w:r w:rsidR="00B53C97">
        <w:rPr>
          <w:rFonts w:asciiTheme="majorHAnsi" w:hAnsiTheme="majorHAnsi"/>
          <w:sz w:val="24"/>
          <w:szCs w:val="24"/>
          <w:lang w:val="en-GB"/>
        </w:rPr>
        <w:t>.</w:t>
      </w:r>
      <w:r w:rsidRPr="0062026B">
        <w:rPr>
          <w:rFonts w:asciiTheme="majorHAnsi" w:hAnsiTheme="majorHAnsi"/>
          <w:sz w:val="24"/>
          <w:szCs w:val="24"/>
          <w:lang w:val="en-GB"/>
        </w:rPr>
        <w:t xml:space="preserve"> (1997) </w:t>
      </w:r>
      <w:r w:rsidRPr="0062026B">
        <w:rPr>
          <w:rFonts w:asciiTheme="majorHAnsi" w:hAnsiTheme="majorHAnsi"/>
          <w:i/>
          <w:sz w:val="24"/>
          <w:szCs w:val="24"/>
          <w:lang w:val="en-GB"/>
        </w:rPr>
        <w:t xml:space="preserve">Modernization and </w:t>
      </w:r>
      <w:proofErr w:type="spellStart"/>
      <w:r w:rsidRPr="0062026B">
        <w:rPr>
          <w:rFonts w:asciiTheme="majorHAnsi" w:hAnsiTheme="majorHAnsi"/>
          <w:i/>
          <w:sz w:val="24"/>
          <w:szCs w:val="24"/>
          <w:lang w:val="en-GB"/>
        </w:rPr>
        <w:t>postmodernization</w:t>
      </w:r>
      <w:proofErr w:type="spellEnd"/>
      <w:r w:rsidRPr="0062026B">
        <w:rPr>
          <w:rFonts w:asciiTheme="majorHAnsi" w:hAnsiTheme="majorHAnsi"/>
          <w:sz w:val="24"/>
          <w:szCs w:val="24"/>
          <w:lang w:val="en-GB"/>
        </w:rPr>
        <w:t>. Princeton: Princeton</w:t>
      </w:r>
      <w:r w:rsidR="005E2ADD">
        <w:rPr>
          <w:rFonts w:asciiTheme="majorHAnsi" w:hAnsiTheme="majorHAnsi"/>
          <w:sz w:val="24"/>
          <w:szCs w:val="24"/>
          <w:lang w:val="en-GB"/>
        </w:rPr>
        <w:t xml:space="preserve"> </w:t>
      </w:r>
      <w:r w:rsidRPr="0062026B">
        <w:rPr>
          <w:rFonts w:asciiTheme="majorHAnsi" w:hAnsiTheme="majorHAnsi"/>
          <w:sz w:val="24"/>
          <w:szCs w:val="24"/>
          <w:lang w:val="en-GB"/>
        </w:rPr>
        <w:t>University Press</w:t>
      </w:r>
      <w:r w:rsidR="00B53EB2">
        <w:rPr>
          <w:rFonts w:asciiTheme="majorHAnsi" w:hAnsiTheme="majorHAnsi"/>
          <w:sz w:val="24"/>
          <w:szCs w:val="24"/>
          <w:lang w:val="en-GB"/>
        </w:rPr>
        <w:t>.</w:t>
      </w:r>
    </w:p>
    <w:p w:rsidR="0019138E" w:rsidRPr="0062026B" w:rsidRDefault="0019138E" w:rsidP="008D423C">
      <w:pPr>
        <w:spacing w:beforeLines="1" w:afterLines="1"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Kunze</w:t>
      </w:r>
      <w:proofErr w:type="spellEnd"/>
      <w:r w:rsidRPr="0062026B">
        <w:rPr>
          <w:rFonts w:asciiTheme="majorHAnsi" w:hAnsiTheme="majorHAnsi"/>
          <w:sz w:val="24"/>
          <w:szCs w:val="24"/>
          <w:lang w:val="en-GB"/>
        </w:rPr>
        <w:t xml:space="preserve"> I</w:t>
      </w:r>
      <w:r w:rsidR="00B53C97">
        <w:rPr>
          <w:rFonts w:asciiTheme="majorHAnsi" w:hAnsiTheme="majorHAnsi"/>
          <w:sz w:val="24"/>
          <w:szCs w:val="24"/>
          <w:lang w:val="en-GB"/>
        </w:rPr>
        <w:t>.</w:t>
      </w:r>
      <w:r w:rsidRPr="0062026B">
        <w:rPr>
          <w:rFonts w:asciiTheme="majorHAnsi" w:hAnsiTheme="majorHAnsi"/>
          <w:sz w:val="24"/>
          <w:szCs w:val="24"/>
          <w:lang w:val="en-GB"/>
        </w:rPr>
        <w:t xml:space="preserve"> and </w:t>
      </w:r>
      <w:proofErr w:type="spellStart"/>
      <w:r w:rsidRPr="0062026B">
        <w:rPr>
          <w:rFonts w:asciiTheme="majorHAnsi" w:hAnsiTheme="majorHAnsi"/>
          <w:sz w:val="24"/>
          <w:szCs w:val="24"/>
          <w:lang w:val="en-GB"/>
        </w:rPr>
        <w:t>Avelino</w:t>
      </w:r>
      <w:proofErr w:type="spellEnd"/>
      <w:r w:rsidRPr="0062026B">
        <w:rPr>
          <w:rFonts w:asciiTheme="majorHAnsi" w:hAnsiTheme="majorHAnsi"/>
          <w:sz w:val="24"/>
          <w:szCs w:val="24"/>
          <w:lang w:val="en-GB"/>
        </w:rPr>
        <w:t xml:space="preserve"> F</w:t>
      </w:r>
      <w:r w:rsidR="00B53C97">
        <w:rPr>
          <w:rFonts w:asciiTheme="majorHAnsi" w:hAnsiTheme="majorHAnsi"/>
          <w:sz w:val="24"/>
          <w:szCs w:val="24"/>
          <w:lang w:val="en-GB"/>
        </w:rPr>
        <w:t>.</w:t>
      </w:r>
      <w:r w:rsidRPr="0062026B">
        <w:rPr>
          <w:rFonts w:asciiTheme="majorHAnsi" w:hAnsiTheme="majorHAnsi"/>
          <w:sz w:val="24"/>
          <w:szCs w:val="24"/>
          <w:lang w:val="en-GB"/>
        </w:rPr>
        <w:t xml:space="preserve"> (2015) Social Innovation and the Global </w:t>
      </w:r>
      <w:proofErr w:type="spellStart"/>
      <w:r w:rsidRPr="0062026B">
        <w:rPr>
          <w:rFonts w:asciiTheme="majorHAnsi" w:hAnsiTheme="majorHAnsi"/>
          <w:sz w:val="24"/>
          <w:szCs w:val="24"/>
          <w:lang w:val="en-GB"/>
        </w:rPr>
        <w:t>Ecovillage</w:t>
      </w:r>
      <w:proofErr w:type="spellEnd"/>
      <w:r w:rsidRPr="0062026B">
        <w:rPr>
          <w:rFonts w:asciiTheme="majorHAnsi" w:hAnsiTheme="majorHAnsi"/>
          <w:sz w:val="24"/>
          <w:szCs w:val="24"/>
          <w:lang w:val="en-GB"/>
        </w:rPr>
        <w:t xml:space="preserve"> Network. Research Report, TRANSIT: EU SSH.2013.3.2-1 Grant agreement no: 613169</w:t>
      </w:r>
      <w:r w:rsidR="00B53EB2">
        <w:rPr>
          <w:rFonts w:asciiTheme="majorHAnsi" w:hAnsiTheme="majorHAnsi"/>
          <w:sz w:val="24"/>
          <w:szCs w:val="24"/>
          <w:lang w:val="en-GB"/>
        </w:rPr>
        <w:t>.</w:t>
      </w:r>
      <w:r w:rsidRPr="0062026B">
        <w:rPr>
          <w:rFonts w:asciiTheme="majorHAnsi" w:hAnsiTheme="majorHAnsi"/>
          <w:sz w:val="24"/>
          <w:szCs w:val="24"/>
          <w:lang w:val="en-GB"/>
        </w:rPr>
        <w:t xml:space="preserve"> </w:t>
      </w:r>
    </w:p>
    <w:p w:rsidR="0019138E" w:rsidRPr="007D6F5B" w:rsidRDefault="0019138E" w:rsidP="005E2ADD">
      <w:pPr>
        <w:spacing w:line="276" w:lineRule="auto"/>
        <w:ind w:left="-284"/>
        <w:contextualSpacing/>
        <w:jc w:val="both"/>
        <w:rPr>
          <w:rFonts w:asciiTheme="majorHAnsi" w:hAnsiTheme="majorHAnsi"/>
          <w:sz w:val="24"/>
          <w:szCs w:val="24"/>
          <w:lang w:val="pt-PT"/>
        </w:rPr>
      </w:pPr>
      <w:proofErr w:type="spellStart"/>
      <w:r w:rsidRPr="0062026B">
        <w:rPr>
          <w:rFonts w:asciiTheme="majorHAnsi" w:hAnsiTheme="majorHAnsi"/>
          <w:sz w:val="24"/>
          <w:szCs w:val="24"/>
          <w:lang w:val="en-GB"/>
        </w:rPr>
        <w:t>Laville</w:t>
      </w:r>
      <w:proofErr w:type="spellEnd"/>
      <w:r w:rsidRPr="0062026B">
        <w:rPr>
          <w:rFonts w:asciiTheme="majorHAnsi" w:hAnsiTheme="majorHAnsi"/>
          <w:sz w:val="24"/>
          <w:szCs w:val="24"/>
          <w:lang w:val="en-GB"/>
        </w:rPr>
        <w:t xml:space="preserve"> J</w:t>
      </w:r>
      <w:r w:rsidR="00B53C97">
        <w:rPr>
          <w:rFonts w:asciiTheme="majorHAnsi" w:hAnsiTheme="majorHAnsi"/>
          <w:sz w:val="24"/>
          <w:szCs w:val="24"/>
          <w:lang w:val="en-GB"/>
        </w:rPr>
        <w:t>.</w:t>
      </w:r>
      <w:r w:rsidRPr="0062026B">
        <w:rPr>
          <w:rFonts w:asciiTheme="majorHAnsi" w:hAnsiTheme="majorHAnsi"/>
          <w:sz w:val="24"/>
          <w:szCs w:val="24"/>
          <w:lang w:val="en-GB"/>
        </w:rPr>
        <w:t>L</w:t>
      </w:r>
      <w:r w:rsidR="00B53C97">
        <w:rPr>
          <w:rFonts w:asciiTheme="majorHAnsi" w:hAnsiTheme="majorHAnsi"/>
          <w:sz w:val="24"/>
          <w:szCs w:val="24"/>
          <w:lang w:val="en-GB"/>
        </w:rPr>
        <w:t>.</w:t>
      </w:r>
      <w:r w:rsidRPr="0062026B">
        <w:rPr>
          <w:rFonts w:asciiTheme="majorHAnsi" w:hAnsiTheme="majorHAnsi"/>
          <w:sz w:val="24"/>
          <w:szCs w:val="24"/>
          <w:lang w:val="en-GB"/>
        </w:rPr>
        <w:t xml:space="preserve"> (1999) </w:t>
      </w:r>
      <w:proofErr w:type="spellStart"/>
      <w:r w:rsidRPr="0062026B">
        <w:rPr>
          <w:rFonts w:asciiTheme="majorHAnsi" w:hAnsiTheme="majorHAnsi"/>
          <w:i/>
          <w:iCs/>
          <w:sz w:val="24"/>
          <w:szCs w:val="24"/>
          <w:lang w:val="en-GB"/>
        </w:rPr>
        <w:t>Une</w:t>
      </w:r>
      <w:proofErr w:type="spellEnd"/>
      <w:r w:rsidRPr="0062026B">
        <w:rPr>
          <w:rFonts w:asciiTheme="majorHAnsi" w:hAnsiTheme="majorHAnsi"/>
          <w:i/>
          <w:iCs/>
          <w:sz w:val="24"/>
          <w:szCs w:val="24"/>
          <w:lang w:val="en-GB"/>
        </w:rPr>
        <w:t xml:space="preserve"> </w:t>
      </w:r>
      <w:proofErr w:type="spellStart"/>
      <w:r w:rsidRPr="0062026B">
        <w:rPr>
          <w:rFonts w:asciiTheme="majorHAnsi" w:hAnsiTheme="majorHAnsi"/>
          <w:i/>
          <w:iCs/>
          <w:sz w:val="24"/>
          <w:szCs w:val="24"/>
          <w:lang w:val="en-GB"/>
        </w:rPr>
        <w:t>Troisième</w:t>
      </w:r>
      <w:proofErr w:type="spellEnd"/>
      <w:r w:rsidRPr="0062026B">
        <w:rPr>
          <w:rFonts w:asciiTheme="majorHAnsi" w:hAnsiTheme="majorHAnsi"/>
          <w:i/>
          <w:iCs/>
          <w:sz w:val="24"/>
          <w:szCs w:val="24"/>
          <w:lang w:val="en-GB"/>
        </w:rPr>
        <w:t xml:space="preserve"> </w:t>
      </w:r>
      <w:proofErr w:type="spellStart"/>
      <w:r w:rsidRPr="0062026B">
        <w:rPr>
          <w:rFonts w:asciiTheme="majorHAnsi" w:hAnsiTheme="majorHAnsi"/>
          <w:i/>
          <w:iCs/>
          <w:sz w:val="24"/>
          <w:szCs w:val="24"/>
          <w:lang w:val="en-GB"/>
        </w:rPr>
        <w:t>Voie</w:t>
      </w:r>
      <w:proofErr w:type="spellEnd"/>
      <w:r w:rsidRPr="0062026B">
        <w:rPr>
          <w:rFonts w:asciiTheme="majorHAnsi" w:hAnsiTheme="majorHAnsi"/>
          <w:i/>
          <w:iCs/>
          <w:sz w:val="24"/>
          <w:szCs w:val="24"/>
          <w:lang w:val="en-GB"/>
        </w:rPr>
        <w:t xml:space="preserve"> pour le Travail</w:t>
      </w:r>
      <w:r w:rsidRPr="0062026B">
        <w:rPr>
          <w:rFonts w:asciiTheme="majorHAnsi" w:hAnsiTheme="majorHAnsi"/>
          <w:sz w:val="24"/>
          <w:szCs w:val="24"/>
          <w:lang w:val="en-GB"/>
        </w:rPr>
        <w:t xml:space="preserve"> [A Third Way for </w:t>
      </w:r>
      <w:proofErr w:type="spellStart"/>
      <w:r w:rsidRPr="0062026B">
        <w:rPr>
          <w:rFonts w:asciiTheme="majorHAnsi" w:hAnsiTheme="majorHAnsi"/>
          <w:sz w:val="24"/>
          <w:szCs w:val="24"/>
          <w:lang w:val="en-GB"/>
        </w:rPr>
        <w:t>Labor</w:t>
      </w:r>
      <w:proofErr w:type="spellEnd"/>
      <w:r w:rsidRPr="0062026B">
        <w:rPr>
          <w:rFonts w:asciiTheme="majorHAnsi" w:hAnsiTheme="majorHAnsi"/>
          <w:sz w:val="24"/>
          <w:szCs w:val="24"/>
          <w:lang w:val="en-GB"/>
        </w:rPr>
        <w:t xml:space="preserve">]. </w:t>
      </w:r>
      <w:r w:rsidRPr="007D6F5B">
        <w:rPr>
          <w:rFonts w:asciiTheme="majorHAnsi" w:hAnsiTheme="majorHAnsi"/>
          <w:sz w:val="24"/>
          <w:szCs w:val="24"/>
          <w:lang w:val="pt-PT"/>
        </w:rPr>
        <w:t>Paris: Desclée de Brower</w:t>
      </w:r>
      <w:r w:rsidR="00B53EB2" w:rsidRPr="007D6F5B">
        <w:rPr>
          <w:rFonts w:asciiTheme="majorHAnsi" w:hAnsiTheme="majorHAnsi"/>
          <w:sz w:val="24"/>
          <w:szCs w:val="24"/>
          <w:lang w:val="pt-PT"/>
        </w:rPr>
        <w:t>.</w:t>
      </w:r>
    </w:p>
    <w:p w:rsidR="0019138E" w:rsidRPr="00B53C97" w:rsidRDefault="0019138E" w:rsidP="005E2ADD">
      <w:pPr>
        <w:spacing w:line="276" w:lineRule="auto"/>
        <w:ind w:left="-284"/>
        <w:contextualSpacing/>
        <w:jc w:val="both"/>
        <w:rPr>
          <w:rFonts w:asciiTheme="majorHAnsi" w:hAnsiTheme="majorHAnsi"/>
          <w:sz w:val="24"/>
          <w:szCs w:val="24"/>
          <w:lang w:val="pt-PT"/>
        </w:rPr>
      </w:pPr>
      <w:r w:rsidRPr="007D6F5B">
        <w:rPr>
          <w:rFonts w:asciiTheme="majorHAnsi" w:hAnsiTheme="majorHAnsi"/>
          <w:sz w:val="24"/>
          <w:szCs w:val="24"/>
          <w:lang w:val="pt-PT"/>
        </w:rPr>
        <w:t>Laville J</w:t>
      </w:r>
      <w:r w:rsidR="00B53C97" w:rsidRPr="007D6F5B">
        <w:rPr>
          <w:rFonts w:asciiTheme="majorHAnsi" w:hAnsiTheme="majorHAnsi"/>
          <w:sz w:val="24"/>
          <w:szCs w:val="24"/>
          <w:lang w:val="pt-PT"/>
        </w:rPr>
        <w:t>.</w:t>
      </w:r>
      <w:r w:rsidRPr="007D6F5B">
        <w:rPr>
          <w:rFonts w:asciiTheme="majorHAnsi" w:hAnsiTheme="majorHAnsi"/>
          <w:sz w:val="24"/>
          <w:szCs w:val="24"/>
          <w:lang w:val="pt-PT"/>
        </w:rPr>
        <w:t>L</w:t>
      </w:r>
      <w:r w:rsidR="00B53C97" w:rsidRPr="007D6F5B">
        <w:rPr>
          <w:rFonts w:asciiTheme="majorHAnsi" w:hAnsiTheme="majorHAnsi"/>
          <w:sz w:val="24"/>
          <w:szCs w:val="24"/>
          <w:lang w:val="pt-PT"/>
        </w:rPr>
        <w:t>.</w:t>
      </w:r>
      <w:r w:rsidRPr="007D6F5B">
        <w:rPr>
          <w:rFonts w:asciiTheme="majorHAnsi" w:hAnsiTheme="majorHAnsi"/>
          <w:sz w:val="24"/>
          <w:szCs w:val="24"/>
          <w:lang w:val="pt-PT"/>
        </w:rPr>
        <w:t xml:space="preserve"> (2009) L’économie solidaire dans le débat théorique [Solidarity Economy: A </w:t>
      </w:r>
      <w:r w:rsidRPr="007C61AB">
        <w:rPr>
          <w:rFonts w:asciiTheme="majorHAnsi" w:hAnsiTheme="majorHAnsi"/>
          <w:sz w:val="24"/>
          <w:szCs w:val="24"/>
          <w:lang w:val="pt-PT"/>
        </w:rPr>
        <w:t xml:space="preserve">theoretical debate]. </w:t>
      </w:r>
      <w:r w:rsidRPr="00B53C97">
        <w:rPr>
          <w:rFonts w:asciiTheme="majorHAnsi" w:hAnsiTheme="majorHAnsi"/>
          <w:i/>
          <w:sz w:val="24"/>
          <w:szCs w:val="24"/>
          <w:lang w:val="pt-PT"/>
        </w:rPr>
        <w:t>Revista de Economia Solidária</w:t>
      </w:r>
      <w:r w:rsidR="00B53EB2" w:rsidRPr="00B53C97">
        <w:rPr>
          <w:rFonts w:asciiTheme="majorHAnsi" w:hAnsiTheme="majorHAnsi"/>
          <w:sz w:val="24"/>
          <w:szCs w:val="24"/>
          <w:lang w:val="pt-PT"/>
        </w:rPr>
        <w:t>, 1, pp.</w:t>
      </w:r>
      <w:r w:rsidRPr="00B53C97">
        <w:rPr>
          <w:rFonts w:asciiTheme="majorHAnsi" w:hAnsiTheme="majorHAnsi"/>
          <w:sz w:val="24"/>
          <w:szCs w:val="24"/>
          <w:lang w:val="pt-PT"/>
        </w:rPr>
        <w:t xml:space="preserve"> 31-70</w:t>
      </w:r>
      <w:r w:rsidR="00B53C97" w:rsidRPr="00B53C97">
        <w:rPr>
          <w:rFonts w:asciiTheme="majorHAnsi" w:hAnsiTheme="majorHAnsi"/>
          <w:sz w:val="24"/>
          <w:szCs w:val="24"/>
          <w:lang w:val="pt-PT"/>
        </w:rPr>
        <w:t>.</w:t>
      </w:r>
    </w:p>
    <w:p w:rsidR="0019138E" w:rsidRPr="0062026B" w:rsidRDefault="0019138E" w:rsidP="007C61AB">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Leadbeater</w:t>
      </w:r>
      <w:proofErr w:type="spellEnd"/>
      <w:r w:rsidRPr="0062026B">
        <w:rPr>
          <w:rFonts w:asciiTheme="majorHAnsi" w:hAnsiTheme="majorHAnsi"/>
          <w:sz w:val="24"/>
          <w:szCs w:val="24"/>
          <w:lang w:val="en-GB"/>
        </w:rPr>
        <w:t xml:space="preserve"> C</w:t>
      </w:r>
      <w:r w:rsidR="00B53EB2">
        <w:rPr>
          <w:rFonts w:asciiTheme="majorHAnsi" w:hAnsiTheme="majorHAnsi"/>
          <w:sz w:val="24"/>
          <w:szCs w:val="24"/>
          <w:lang w:val="en-GB"/>
        </w:rPr>
        <w:t>.</w:t>
      </w:r>
      <w:r w:rsidRPr="0062026B">
        <w:rPr>
          <w:rFonts w:asciiTheme="majorHAnsi" w:hAnsiTheme="majorHAnsi"/>
          <w:sz w:val="24"/>
          <w:szCs w:val="24"/>
          <w:lang w:val="en-GB"/>
        </w:rPr>
        <w:t xml:space="preserve"> (1996) </w:t>
      </w:r>
      <w:r w:rsidRPr="0062026B">
        <w:rPr>
          <w:rFonts w:asciiTheme="majorHAnsi" w:hAnsiTheme="majorHAnsi"/>
          <w:i/>
          <w:sz w:val="24"/>
          <w:szCs w:val="24"/>
          <w:lang w:val="en-GB"/>
        </w:rPr>
        <w:t>The Rise of the Social Entrepreneur</w:t>
      </w:r>
      <w:r w:rsidRPr="0062026B">
        <w:rPr>
          <w:rFonts w:asciiTheme="majorHAnsi" w:hAnsiTheme="majorHAnsi"/>
          <w:sz w:val="24"/>
          <w:szCs w:val="24"/>
          <w:lang w:val="en-GB"/>
        </w:rPr>
        <w:t>. London, UK: Demos</w:t>
      </w:r>
    </w:p>
    <w:p w:rsidR="0019138E" w:rsidRPr="005E2ADD" w:rsidRDefault="0019138E" w:rsidP="005E2ADD">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Meltzer G</w:t>
      </w:r>
      <w:r w:rsidR="00B53EB2">
        <w:rPr>
          <w:rFonts w:asciiTheme="majorHAnsi" w:hAnsiTheme="majorHAnsi"/>
          <w:sz w:val="24"/>
          <w:szCs w:val="24"/>
          <w:lang w:val="en-GB"/>
        </w:rPr>
        <w:t>.</w:t>
      </w:r>
      <w:r w:rsidRPr="0062026B">
        <w:rPr>
          <w:rFonts w:asciiTheme="majorHAnsi" w:hAnsiTheme="majorHAnsi"/>
          <w:sz w:val="24"/>
          <w:szCs w:val="24"/>
          <w:lang w:val="en-GB"/>
        </w:rPr>
        <w:t xml:space="preserve"> (2015) </w:t>
      </w:r>
      <w:r w:rsidRPr="0062026B">
        <w:rPr>
          <w:rFonts w:asciiTheme="majorHAnsi" w:hAnsiTheme="majorHAnsi"/>
          <w:i/>
          <w:sz w:val="24"/>
          <w:szCs w:val="24"/>
          <w:lang w:val="en-GB"/>
        </w:rPr>
        <w:t xml:space="preserve">Findhorn Reflections: A very personal take on life inside the famous spiritual community and </w:t>
      </w:r>
      <w:proofErr w:type="spellStart"/>
      <w:r w:rsidRPr="0062026B">
        <w:rPr>
          <w:rFonts w:asciiTheme="majorHAnsi" w:hAnsiTheme="majorHAnsi"/>
          <w:i/>
          <w:sz w:val="24"/>
          <w:szCs w:val="24"/>
          <w:lang w:val="en-GB"/>
        </w:rPr>
        <w:t>ecovillage</w:t>
      </w:r>
      <w:proofErr w:type="spellEnd"/>
      <w:r w:rsidRPr="0062026B">
        <w:rPr>
          <w:rFonts w:asciiTheme="majorHAnsi" w:hAnsiTheme="majorHAnsi"/>
          <w:i/>
          <w:sz w:val="24"/>
          <w:szCs w:val="24"/>
          <w:lang w:val="en-GB"/>
        </w:rPr>
        <w:t>.</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CreateSpace</w:t>
      </w:r>
      <w:proofErr w:type="spellEnd"/>
      <w:r w:rsidRPr="0062026B">
        <w:rPr>
          <w:rFonts w:asciiTheme="majorHAnsi" w:hAnsiTheme="majorHAnsi"/>
          <w:sz w:val="24"/>
          <w:szCs w:val="24"/>
          <w:lang w:val="en-GB"/>
        </w:rPr>
        <w:t xml:space="preserve"> Independent Publishing Platform </w:t>
      </w:r>
      <w:r w:rsidR="00155F98">
        <w:rPr>
          <w:rFonts w:asciiTheme="majorHAnsi" w:hAnsiTheme="majorHAnsi"/>
          <w:sz w:val="24"/>
          <w:szCs w:val="24"/>
          <w:lang w:val="en-GB"/>
        </w:rPr>
        <w:t xml:space="preserve">Available </w:t>
      </w:r>
      <w:hyperlink r:id="rId8" w:history="1">
        <w:r w:rsidRPr="0062026B">
          <w:rPr>
            <w:rStyle w:val="Lienhypertexte"/>
            <w:rFonts w:asciiTheme="majorHAnsi" w:hAnsiTheme="majorHAnsi"/>
            <w:sz w:val="24"/>
            <w:szCs w:val="24"/>
            <w:lang w:val="en-GB"/>
          </w:rPr>
          <w:t>https://www.createspace.com/</w:t>
        </w:r>
      </w:hyperlink>
      <w:r w:rsidR="00155F98">
        <w:rPr>
          <w:rFonts w:asciiTheme="majorHAnsi" w:hAnsiTheme="majorHAnsi"/>
          <w:sz w:val="24"/>
          <w:szCs w:val="24"/>
          <w:lang w:val="en-GB"/>
        </w:rPr>
        <w:t xml:space="preserve">  (11 May 2016)</w:t>
      </w:r>
      <w:r w:rsidR="00B53EB2">
        <w:rPr>
          <w:rFonts w:asciiTheme="majorHAnsi" w:hAnsiTheme="majorHAnsi"/>
          <w:sz w:val="24"/>
          <w:szCs w:val="24"/>
          <w:lang w:val="en-GB"/>
        </w:rPr>
        <w:t>.</w:t>
      </w:r>
    </w:p>
    <w:p w:rsidR="0019138E" w:rsidRPr="008D6CDC" w:rsidRDefault="0019138E" w:rsidP="008D6CDC">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Merrifield J</w:t>
      </w:r>
      <w:r w:rsidR="00B53EB2">
        <w:rPr>
          <w:rFonts w:asciiTheme="majorHAnsi" w:hAnsiTheme="majorHAnsi"/>
          <w:sz w:val="24"/>
          <w:szCs w:val="24"/>
          <w:lang w:val="en-GB"/>
        </w:rPr>
        <w:t>.</w:t>
      </w:r>
      <w:r w:rsidRPr="0062026B">
        <w:rPr>
          <w:rFonts w:asciiTheme="majorHAnsi" w:hAnsiTheme="majorHAnsi"/>
          <w:sz w:val="24"/>
          <w:szCs w:val="24"/>
          <w:lang w:val="en-GB"/>
        </w:rPr>
        <w:t xml:space="preserve"> (2006) </w:t>
      </w:r>
      <w:r w:rsidRPr="0062026B">
        <w:rPr>
          <w:rFonts w:asciiTheme="majorHAnsi" w:hAnsiTheme="majorHAnsi"/>
          <w:i/>
          <w:sz w:val="24"/>
          <w:szCs w:val="24"/>
          <w:lang w:val="en-GB"/>
        </w:rPr>
        <w:t>Damanhur: The Story of the Extraordinary Italian Artistic and Spiritual Community</w:t>
      </w:r>
      <w:r w:rsidRPr="0062026B">
        <w:rPr>
          <w:rFonts w:asciiTheme="majorHAnsi" w:hAnsiTheme="majorHAnsi"/>
          <w:sz w:val="24"/>
          <w:szCs w:val="24"/>
          <w:lang w:val="en-GB"/>
        </w:rPr>
        <w:t>. Santa Cruz, CA: Hanford Mead Publishers</w:t>
      </w:r>
      <w:r w:rsidR="00B53EB2">
        <w:rPr>
          <w:rFonts w:asciiTheme="majorHAnsi" w:hAnsiTheme="majorHAnsi"/>
          <w:sz w:val="24"/>
          <w:szCs w:val="24"/>
          <w:lang w:val="en-GB"/>
        </w:rPr>
        <w:t>.</w:t>
      </w:r>
    </w:p>
    <w:p w:rsidR="0019138E" w:rsidRPr="008D6CDC" w:rsidRDefault="0019138E" w:rsidP="008D6CDC">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Minor R</w:t>
      </w:r>
      <w:r w:rsidR="00B53EB2">
        <w:rPr>
          <w:rFonts w:asciiTheme="majorHAnsi" w:hAnsiTheme="majorHAnsi"/>
          <w:sz w:val="24"/>
          <w:szCs w:val="24"/>
          <w:lang w:val="en-GB"/>
        </w:rPr>
        <w:t>.</w:t>
      </w:r>
      <w:r w:rsidRPr="0062026B">
        <w:rPr>
          <w:rFonts w:asciiTheme="majorHAnsi" w:hAnsiTheme="majorHAnsi"/>
          <w:sz w:val="24"/>
          <w:szCs w:val="24"/>
          <w:lang w:val="en-GB"/>
        </w:rPr>
        <w:t>N</w:t>
      </w:r>
      <w:r w:rsidR="00B53EB2">
        <w:rPr>
          <w:rFonts w:asciiTheme="majorHAnsi" w:hAnsiTheme="majorHAnsi"/>
          <w:sz w:val="24"/>
          <w:szCs w:val="24"/>
          <w:lang w:val="en-GB"/>
        </w:rPr>
        <w:t>.</w:t>
      </w:r>
      <w:r w:rsidRPr="0062026B">
        <w:rPr>
          <w:rFonts w:asciiTheme="majorHAnsi" w:hAnsiTheme="majorHAnsi"/>
          <w:sz w:val="24"/>
          <w:szCs w:val="24"/>
          <w:lang w:val="en-GB"/>
        </w:rPr>
        <w:t xml:space="preserve"> (1998) </w:t>
      </w:r>
      <w:r w:rsidRPr="0062026B">
        <w:rPr>
          <w:rFonts w:asciiTheme="majorHAnsi" w:hAnsiTheme="majorHAnsi"/>
          <w:i/>
          <w:sz w:val="24"/>
          <w:szCs w:val="24"/>
          <w:lang w:val="en-GB"/>
        </w:rPr>
        <w:t xml:space="preserve">The Religious, the Spiritual and the Secular: </w:t>
      </w:r>
      <w:proofErr w:type="spellStart"/>
      <w:r w:rsidRPr="0062026B">
        <w:rPr>
          <w:rFonts w:asciiTheme="majorHAnsi" w:hAnsiTheme="majorHAnsi"/>
          <w:i/>
          <w:sz w:val="24"/>
          <w:szCs w:val="24"/>
          <w:lang w:val="en-GB"/>
        </w:rPr>
        <w:t>Auroville</w:t>
      </w:r>
      <w:proofErr w:type="spellEnd"/>
      <w:r w:rsidRPr="0062026B">
        <w:rPr>
          <w:rFonts w:asciiTheme="majorHAnsi" w:hAnsiTheme="majorHAnsi"/>
          <w:i/>
          <w:sz w:val="24"/>
          <w:szCs w:val="24"/>
          <w:lang w:val="en-GB"/>
        </w:rPr>
        <w:t xml:space="preserve"> and Secular India (SUNY Series in Religious Studies)</w:t>
      </w:r>
      <w:r w:rsidRPr="0062026B">
        <w:rPr>
          <w:rFonts w:asciiTheme="majorHAnsi" w:hAnsiTheme="majorHAnsi"/>
          <w:sz w:val="24"/>
          <w:szCs w:val="24"/>
          <w:lang w:val="en-GB"/>
        </w:rPr>
        <w:t>. Albany, NY: SUNY Press</w:t>
      </w:r>
      <w:r w:rsidR="00B53EB2">
        <w:rPr>
          <w:rFonts w:asciiTheme="majorHAnsi" w:hAnsiTheme="majorHAnsi"/>
          <w:sz w:val="24"/>
          <w:szCs w:val="24"/>
          <w:lang w:val="en-GB"/>
        </w:rPr>
        <w:t>.</w:t>
      </w:r>
    </w:p>
    <w:p w:rsidR="0019138E" w:rsidRPr="0062026B" w:rsidRDefault="0019138E" w:rsidP="008D6CDC">
      <w:pPr>
        <w:spacing w:line="276" w:lineRule="auto"/>
        <w:ind w:left="-284"/>
        <w:contextualSpacing/>
        <w:jc w:val="both"/>
        <w:rPr>
          <w:rFonts w:asciiTheme="majorHAnsi" w:hAnsiTheme="majorHAnsi"/>
          <w:sz w:val="24"/>
          <w:szCs w:val="24"/>
          <w:lang w:val="en-GB"/>
        </w:rPr>
      </w:pPr>
      <w:r w:rsidRPr="0062026B">
        <w:rPr>
          <w:rFonts w:asciiTheme="majorHAnsi" w:hAnsiTheme="majorHAnsi"/>
          <w:sz w:val="24"/>
          <w:szCs w:val="24"/>
          <w:lang w:val="en-GB"/>
        </w:rPr>
        <w:t>Mort G</w:t>
      </w:r>
      <w:r w:rsidR="00B53EB2">
        <w:rPr>
          <w:rFonts w:asciiTheme="majorHAnsi" w:hAnsiTheme="majorHAnsi"/>
          <w:sz w:val="24"/>
          <w:szCs w:val="24"/>
          <w:lang w:val="en-GB"/>
        </w:rPr>
        <w:t>.</w:t>
      </w:r>
      <w:r w:rsidRPr="0062026B">
        <w:rPr>
          <w:rFonts w:asciiTheme="majorHAnsi" w:hAnsiTheme="majorHAnsi"/>
          <w:sz w:val="24"/>
          <w:szCs w:val="24"/>
          <w:lang w:val="en-GB"/>
        </w:rPr>
        <w:t>S</w:t>
      </w:r>
      <w:r w:rsidR="00B53EB2">
        <w:rPr>
          <w:rFonts w:asciiTheme="majorHAnsi" w:hAnsiTheme="majorHAnsi"/>
          <w:sz w:val="24"/>
          <w:szCs w:val="24"/>
          <w:lang w:val="en-GB"/>
        </w:rPr>
        <w:t>.</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Weerawardena</w:t>
      </w:r>
      <w:proofErr w:type="spellEnd"/>
      <w:r w:rsidRPr="0062026B">
        <w:rPr>
          <w:rFonts w:asciiTheme="majorHAnsi" w:hAnsiTheme="majorHAnsi"/>
          <w:sz w:val="24"/>
          <w:szCs w:val="24"/>
          <w:lang w:val="en-GB"/>
        </w:rPr>
        <w:t xml:space="preserve"> J and Carnegie K (2003) Social entrepreneurship: Towards conceptualization. </w:t>
      </w:r>
      <w:r w:rsidRPr="0062026B">
        <w:rPr>
          <w:rFonts w:asciiTheme="majorHAnsi" w:hAnsiTheme="majorHAnsi"/>
          <w:i/>
          <w:sz w:val="24"/>
          <w:szCs w:val="24"/>
          <w:lang w:val="en-GB"/>
        </w:rPr>
        <w:t xml:space="preserve">International Journal of </w:t>
      </w:r>
      <w:proofErr w:type="spellStart"/>
      <w:r w:rsidRPr="0062026B">
        <w:rPr>
          <w:rFonts w:asciiTheme="majorHAnsi" w:hAnsiTheme="majorHAnsi"/>
          <w:i/>
          <w:sz w:val="24"/>
          <w:szCs w:val="24"/>
          <w:lang w:val="en-GB"/>
        </w:rPr>
        <w:t>Nonprofit</w:t>
      </w:r>
      <w:proofErr w:type="spellEnd"/>
      <w:r w:rsidRPr="0062026B">
        <w:rPr>
          <w:rFonts w:asciiTheme="majorHAnsi" w:hAnsiTheme="majorHAnsi"/>
          <w:i/>
          <w:sz w:val="24"/>
          <w:szCs w:val="24"/>
          <w:lang w:val="en-GB"/>
        </w:rPr>
        <w:t xml:space="preserve"> and Voluntary Sector Marketing</w:t>
      </w:r>
      <w:r w:rsidRPr="0062026B">
        <w:rPr>
          <w:rFonts w:asciiTheme="majorHAnsi" w:hAnsiTheme="majorHAnsi"/>
          <w:sz w:val="24"/>
          <w:szCs w:val="24"/>
          <w:lang w:val="en-GB"/>
        </w:rPr>
        <w:t>, 8(1): 76–89</w:t>
      </w:r>
      <w:r w:rsidR="00B53EB2">
        <w:rPr>
          <w:rFonts w:asciiTheme="majorHAnsi" w:hAnsiTheme="majorHAnsi"/>
          <w:sz w:val="24"/>
          <w:szCs w:val="24"/>
          <w:lang w:val="en-GB"/>
        </w:rPr>
        <w:t>.</w:t>
      </w:r>
      <w:r w:rsidRPr="0062026B">
        <w:rPr>
          <w:rFonts w:asciiTheme="majorHAnsi" w:hAnsiTheme="majorHAnsi"/>
          <w:sz w:val="24"/>
          <w:szCs w:val="24"/>
          <w:lang w:val="en-GB"/>
        </w:rPr>
        <w:t xml:space="preserve"> </w:t>
      </w:r>
    </w:p>
    <w:p w:rsidR="0019138E" w:rsidRPr="0062026B" w:rsidRDefault="0019138E" w:rsidP="008D6CDC">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Peredo</w:t>
      </w:r>
      <w:proofErr w:type="spellEnd"/>
      <w:r w:rsidRPr="0062026B">
        <w:rPr>
          <w:rFonts w:asciiTheme="majorHAnsi" w:hAnsiTheme="majorHAnsi"/>
          <w:sz w:val="24"/>
          <w:szCs w:val="24"/>
          <w:lang w:val="en-GB"/>
        </w:rPr>
        <w:t xml:space="preserve"> A</w:t>
      </w:r>
      <w:r w:rsidR="00B53EB2">
        <w:rPr>
          <w:rFonts w:asciiTheme="majorHAnsi" w:hAnsiTheme="majorHAnsi"/>
          <w:sz w:val="24"/>
          <w:szCs w:val="24"/>
          <w:lang w:val="en-GB"/>
        </w:rPr>
        <w:t>.</w:t>
      </w:r>
      <w:r w:rsidRPr="0062026B">
        <w:rPr>
          <w:rFonts w:asciiTheme="majorHAnsi" w:hAnsiTheme="majorHAnsi"/>
          <w:sz w:val="24"/>
          <w:szCs w:val="24"/>
          <w:lang w:val="en-GB"/>
        </w:rPr>
        <w:t>M</w:t>
      </w:r>
      <w:r w:rsidR="00B53EB2">
        <w:rPr>
          <w:rFonts w:asciiTheme="majorHAnsi" w:hAnsiTheme="majorHAnsi"/>
          <w:sz w:val="24"/>
          <w:szCs w:val="24"/>
          <w:lang w:val="en-GB"/>
        </w:rPr>
        <w:t>.</w:t>
      </w:r>
      <w:r w:rsidRPr="0062026B">
        <w:rPr>
          <w:rFonts w:asciiTheme="majorHAnsi" w:hAnsiTheme="majorHAnsi"/>
          <w:sz w:val="24"/>
          <w:szCs w:val="24"/>
          <w:lang w:val="en-GB"/>
        </w:rPr>
        <w:t xml:space="preserve"> and McLean, M</w:t>
      </w:r>
      <w:r w:rsidR="00B53EB2">
        <w:rPr>
          <w:rFonts w:asciiTheme="majorHAnsi" w:hAnsiTheme="majorHAnsi"/>
          <w:sz w:val="24"/>
          <w:szCs w:val="24"/>
          <w:lang w:val="en-GB"/>
        </w:rPr>
        <w:t>.</w:t>
      </w:r>
      <w:r w:rsidRPr="0062026B">
        <w:rPr>
          <w:rFonts w:asciiTheme="majorHAnsi" w:hAnsiTheme="majorHAnsi"/>
          <w:sz w:val="24"/>
          <w:szCs w:val="24"/>
          <w:lang w:val="en-GB"/>
        </w:rPr>
        <w:t xml:space="preserve"> (2006) Social Entrepreneurship: A Critical Review of the Concept. </w:t>
      </w:r>
      <w:r w:rsidRPr="0062026B">
        <w:rPr>
          <w:rFonts w:asciiTheme="majorHAnsi" w:hAnsiTheme="majorHAnsi"/>
          <w:i/>
          <w:sz w:val="24"/>
          <w:szCs w:val="24"/>
          <w:lang w:val="en-GB"/>
        </w:rPr>
        <w:t>Journal of World Business</w:t>
      </w:r>
      <w:r w:rsidR="00B53EB2">
        <w:rPr>
          <w:rFonts w:asciiTheme="majorHAnsi" w:hAnsiTheme="majorHAnsi"/>
          <w:sz w:val="24"/>
          <w:szCs w:val="24"/>
          <w:lang w:val="en-GB"/>
        </w:rPr>
        <w:t>, 41, 1, pp.</w:t>
      </w:r>
      <w:r w:rsidRPr="0062026B">
        <w:rPr>
          <w:rFonts w:asciiTheme="majorHAnsi" w:hAnsiTheme="majorHAnsi"/>
          <w:sz w:val="24"/>
          <w:szCs w:val="24"/>
          <w:lang w:val="en-GB"/>
        </w:rPr>
        <w:t xml:space="preserve"> 56-65</w:t>
      </w:r>
      <w:r w:rsidR="00B53EB2">
        <w:rPr>
          <w:rFonts w:asciiTheme="majorHAnsi" w:hAnsiTheme="majorHAnsi"/>
          <w:sz w:val="24"/>
          <w:szCs w:val="24"/>
          <w:lang w:val="en-GB"/>
        </w:rPr>
        <w:t>.</w:t>
      </w:r>
    </w:p>
    <w:p w:rsidR="007C61AB" w:rsidRPr="008D6CDC" w:rsidRDefault="0019138E" w:rsidP="008D6CDC">
      <w:pPr>
        <w:spacing w:line="276" w:lineRule="auto"/>
        <w:ind w:left="-284"/>
        <w:contextualSpacing/>
        <w:jc w:val="both"/>
        <w:rPr>
          <w:rFonts w:asciiTheme="majorHAnsi" w:hAnsiTheme="majorHAnsi"/>
          <w:i/>
          <w:sz w:val="24"/>
          <w:szCs w:val="24"/>
          <w:lang w:val="en-GB"/>
        </w:rPr>
      </w:pPr>
      <w:proofErr w:type="spellStart"/>
      <w:r w:rsidRPr="0062026B">
        <w:rPr>
          <w:rFonts w:asciiTheme="majorHAnsi" w:hAnsiTheme="majorHAnsi"/>
          <w:sz w:val="24"/>
          <w:szCs w:val="24"/>
          <w:lang w:val="en-GB"/>
        </w:rPr>
        <w:lastRenderedPageBreak/>
        <w:t>Pomerantz</w:t>
      </w:r>
      <w:proofErr w:type="spellEnd"/>
      <w:r w:rsidRPr="0062026B">
        <w:rPr>
          <w:rFonts w:asciiTheme="majorHAnsi" w:hAnsiTheme="majorHAnsi"/>
          <w:sz w:val="24"/>
          <w:szCs w:val="24"/>
          <w:lang w:val="en-GB"/>
        </w:rPr>
        <w:t xml:space="preserve"> M</w:t>
      </w:r>
      <w:r w:rsidR="00B53EB2">
        <w:rPr>
          <w:rFonts w:asciiTheme="majorHAnsi" w:hAnsiTheme="majorHAnsi"/>
          <w:sz w:val="24"/>
          <w:szCs w:val="24"/>
          <w:lang w:val="en-GB"/>
        </w:rPr>
        <w:t>.</w:t>
      </w:r>
      <w:r w:rsidRPr="0062026B">
        <w:rPr>
          <w:rFonts w:asciiTheme="majorHAnsi" w:hAnsiTheme="majorHAnsi"/>
          <w:sz w:val="24"/>
          <w:szCs w:val="24"/>
          <w:lang w:val="en-GB"/>
        </w:rPr>
        <w:t xml:space="preserve"> (2003) </w:t>
      </w:r>
      <w:r w:rsidR="00251142">
        <w:rPr>
          <w:rFonts w:asciiTheme="majorHAnsi" w:hAnsiTheme="majorHAnsi"/>
          <w:sz w:val="24"/>
          <w:szCs w:val="24"/>
          <w:lang w:val="en-GB"/>
        </w:rPr>
        <w:t>“</w:t>
      </w:r>
      <w:r w:rsidRPr="0062026B">
        <w:rPr>
          <w:rFonts w:asciiTheme="majorHAnsi" w:hAnsiTheme="majorHAnsi"/>
          <w:sz w:val="24"/>
          <w:szCs w:val="24"/>
          <w:lang w:val="en-GB"/>
        </w:rPr>
        <w:t>The business of</w:t>
      </w:r>
      <w:r w:rsidR="00251142">
        <w:rPr>
          <w:rFonts w:asciiTheme="majorHAnsi" w:hAnsiTheme="majorHAnsi"/>
          <w:sz w:val="24"/>
          <w:szCs w:val="24"/>
          <w:lang w:val="en-GB"/>
        </w:rPr>
        <w:t xml:space="preserve"> social entrepreneurship in a ‘</w:t>
      </w:r>
      <w:r w:rsidRPr="0062026B">
        <w:rPr>
          <w:rFonts w:asciiTheme="majorHAnsi" w:hAnsiTheme="majorHAnsi"/>
          <w:sz w:val="24"/>
          <w:szCs w:val="24"/>
          <w:lang w:val="en-GB"/>
        </w:rPr>
        <w:t>down economy</w:t>
      </w:r>
      <w:r w:rsidR="00251142">
        <w:rPr>
          <w:rFonts w:asciiTheme="majorHAnsi" w:hAnsiTheme="majorHAnsi"/>
          <w:sz w:val="24"/>
          <w:szCs w:val="24"/>
          <w:lang w:val="en-GB"/>
        </w:rPr>
        <w:t>’’’,</w:t>
      </w:r>
      <w:r w:rsidRPr="0062026B">
        <w:rPr>
          <w:rFonts w:asciiTheme="majorHAnsi" w:hAnsiTheme="majorHAnsi"/>
          <w:sz w:val="24"/>
          <w:szCs w:val="24"/>
          <w:lang w:val="en-GB"/>
        </w:rPr>
        <w:t xml:space="preserve"> </w:t>
      </w:r>
      <w:r w:rsidRPr="0062026B">
        <w:rPr>
          <w:rFonts w:asciiTheme="majorHAnsi" w:hAnsiTheme="majorHAnsi"/>
          <w:i/>
          <w:sz w:val="24"/>
          <w:szCs w:val="24"/>
          <w:lang w:val="en-GB"/>
        </w:rPr>
        <w:t xml:space="preserve">In </w:t>
      </w:r>
      <w:r w:rsidRPr="007D6F5B">
        <w:rPr>
          <w:rFonts w:asciiTheme="majorHAnsi" w:hAnsiTheme="majorHAnsi"/>
          <w:i/>
          <w:sz w:val="24"/>
          <w:szCs w:val="24"/>
          <w:lang w:val="pt-PT"/>
        </w:rPr>
        <w:t>Business,</w:t>
      </w:r>
      <w:r w:rsidR="00B53EB2" w:rsidRPr="007D6F5B">
        <w:rPr>
          <w:rFonts w:asciiTheme="majorHAnsi" w:hAnsiTheme="majorHAnsi"/>
          <w:sz w:val="24"/>
          <w:szCs w:val="24"/>
          <w:lang w:val="pt-PT"/>
        </w:rPr>
        <w:t xml:space="preserve"> 25, 3,</w:t>
      </w:r>
      <w:r w:rsidR="00251142" w:rsidRPr="007D6F5B">
        <w:rPr>
          <w:rFonts w:asciiTheme="majorHAnsi" w:hAnsiTheme="majorHAnsi"/>
          <w:sz w:val="24"/>
          <w:szCs w:val="24"/>
          <w:lang w:val="pt-PT"/>
        </w:rPr>
        <w:t xml:space="preserve"> pp,</w:t>
      </w:r>
      <w:r w:rsidRPr="007D6F5B">
        <w:rPr>
          <w:rFonts w:asciiTheme="majorHAnsi" w:hAnsiTheme="majorHAnsi"/>
          <w:sz w:val="24"/>
          <w:szCs w:val="24"/>
          <w:lang w:val="pt-PT"/>
        </w:rPr>
        <w:t xml:space="preserve"> 25–30</w:t>
      </w:r>
      <w:r w:rsidR="00B53EB2" w:rsidRPr="007D6F5B">
        <w:rPr>
          <w:rFonts w:asciiTheme="majorHAnsi" w:hAnsiTheme="majorHAnsi"/>
          <w:sz w:val="24"/>
          <w:szCs w:val="24"/>
          <w:lang w:val="pt-PT"/>
        </w:rPr>
        <w:t>.</w:t>
      </w:r>
    </w:p>
    <w:p w:rsidR="0019138E" w:rsidRPr="007D6F5B" w:rsidRDefault="0019138E" w:rsidP="008D6CDC">
      <w:pPr>
        <w:spacing w:line="276" w:lineRule="auto"/>
        <w:ind w:left="-284"/>
        <w:contextualSpacing/>
        <w:jc w:val="both"/>
        <w:rPr>
          <w:rFonts w:asciiTheme="majorHAnsi" w:hAnsiTheme="majorHAnsi"/>
          <w:sz w:val="24"/>
          <w:szCs w:val="24"/>
          <w:lang w:val="pt-PT"/>
        </w:rPr>
      </w:pPr>
      <w:r w:rsidRPr="007D6F5B">
        <w:rPr>
          <w:rFonts w:asciiTheme="majorHAnsi" w:hAnsiTheme="majorHAnsi"/>
          <w:sz w:val="24"/>
          <w:szCs w:val="24"/>
          <w:lang w:val="pt-PT"/>
        </w:rPr>
        <w:t>Quintão C</w:t>
      </w:r>
      <w:r w:rsidR="00B53EB2" w:rsidRPr="007D6F5B">
        <w:rPr>
          <w:rFonts w:asciiTheme="majorHAnsi" w:hAnsiTheme="majorHAnsi"/>
          <w:sz w:val="24"/>
          <w:szCs w:val="24"/>
          <w:lang w:val="pt-PT"/>
        </w:rPr>
        <w:t>.</w:t>
      </w:r>
      <w:r w:rsidRPr="007D6F5B">
        <w:rPr>
          <w:rFonts w:asciiTheme="majorHAnsi" w:hAnsiTheme="majorHAnsi"/>
          <w:sz w:val="24"/>
          <w:szCs w:val="24"/>
          <w:lang w:val="pt-PT"/>
        </w:rPr>
        <w:t xml:space="preserve"> a</w:t>
      </w:r>
      <w:r w:rsidRPr="0062026B">
        <w:rPr>
          <w:rFonts w:asciiTheme="majorHAnsi" w:hAnsiTheme="majorHAnsi"/>
          <w:sz w:val="24"/>
          <w:szCs w:val="24"/>
          <w:lang w:val="pt-PT"/>
        </w:rPr>
        <w:t>nd Parente C</w:t>
      </w:r>
      <w:r w:rsidR="00B53EB2">
        <w:rPr>
          <w:rFonts w:asciiTheme="majorHAnsi" w:hAnsiTheme="majorHAnsi"/>
          <w:sz w:val="24"/>
          <w:szCs w:val="24"/>
          <w:lang w:val="pt-PT"/>
        </w:rPr>
        <w:t>.</w:t>
      </w:r>
      <w:r w:rsidRPr="0062026B">
        <w:rPr>
          <w:rFonts w:asciiTheme="majorHAnsi" w:hAnsiTheme="majorHAnsi"/>
          <w:sz w:val="24"/>
          <w:szCs w:val="24"/>
          <w:lang w:val="pt-PT"/>
        </w:rPr>
        <w:t xml:space="preserve"> (2015) As Escolas de Pensamento sobre o Empreendedorismo </w:t>
      </w:r>
      <w:r w:rsidRPr="00251142">
        <w:rPr>
          <w:rFonts w:asciiTheme="majorHAnsi" w:hAnsiTheme="majorHAnsi"/>
          <w:sz w:val="24"/>
          <w:szCs w:val="24"/>
          <w:lang w:val="pt-PT"/>
        </w:rPr>
        <w:t>Social [Conceptual Approaches to Social Entr</w:t>
      </w:r>
      <w:r w:rsidR="00251142" w:rsidRPr="00251142">
        <w:rPr>
          <w:rFonts w:asciiTheme="majorHAnsi" w:hAnsiTheme="majorHAnsi"/>
          <w:sz w:val="24"/>
          <w:szCs w:val="24"/>
          <w:lang w:val="pt-PT"/>
        </w:rPr>
        <w:t>e</w:t>
      </w:r>
      <w:r w:rsidR="00251142" w:rsidRPr="007D6F5B">
        <w:rPr>
          <w:rFonts w:asciiTheme="majorHAnsi" w:hAnsiTheme="majorHAnsi"/>
          <w:sz w:val="24"/>
          <w:szCs w:val="24"/>
          <w:lang w:val="pt-PT"/>
        </w:rPr>
        <w:t>preneurship],</w:t>
      </w:r>
      <w:r w:rsidRPr="007D6F5B">
        <w:rPr>
          <w:rFonts w:asciiTheme="majorHAnsi" w:hAnsiTheme="majorHAnsi"/>
          <w:sz w:val="24"/>
          <w:szCs w:val="24"/>
          <w:lang w:val="pt-PT"/>
        </w:rPr>
        <w:t xml:space="preserve"> </w:t>
      </w:r>
      <w:r w:rsidRPr="007D6F5B">
        <w:rPr>
          <w:rFonts w:asciiTheme="majorHAnsi" w:hAnsiTheme="majorHAnsi"/>
          <w:i/>
          <w:sz w:val="24"/>
          <w:szCs w:val="24"/>
          <w:lang w:val="pt-PT"/>
        </w:rPr>
        <w:t>Revista de Empreendedorismo Social</w:t>
      </w:r>
      <w:r w:rsidR="00B53EB2" w:rsidRPr="007D6F5B">
        <w:rPr>
          <w:rFonts w:asciiTheme="majorHAnsi" w:hAnsiTheme="majorHAnsi"/>
          <w:sz w:val="24"/>
          <w:szCs w:val="24"/>
          <w:lang w:val="pt-PT"/>
        </w:rPr>
        <w:t>, 8,</w:t>
      </w:r>
      <w:r w:rsidR="00251142" w:rsidRPr="007D6F5B">
        <w:rPr>
          <w:rFonts w:asciiTheme="majorHAnsi" w:hAnsiTheme="majorHAnsi"/>
          <w:sz w:val="24"/>
          <w:szCs w:val="24"/>
          <w:lang w:val="pt-PT"/>
        </w:rPr>
        <w:t xml:space="preserve"> pp.</w:t>
      </w:r>
      <w:r w:rsidRPr="007D6F5B">
        <w:rPr>
          <w:rFonts w:asciiTheme="majorHAnsi" w:hAnsiTheme="majorHAnsi"/>
          <w:sz w:val="24"/>
          <w:szCs w:val="24"/>
          <w:lang w:val="pt-PT"/>
        </w:rPr>
        <w:t xml:space="preserve"> 50-81</w:t>
      </w:r>
      <w:r w:rsidR="00B53EB2" w:rsidRPr="007D6F5B">
        <w:rPr>
          <w:rFonts w:asciiTheme="majorHAnsi" w:hAnsiTheme="majorHAnsi"/>
          <w:sz w:val="24"/>
          <w:szCs w:val="24"/>
          <w:lang w:val="pt-PT"/>
        </w:rPr>
        <w:t>.</w:t>
      </w:r>
    </w:p>
    <w:p w:rsidR="0019138E" w:rsidRPr="0062026B" w:rsidRDefault="0019138E" w:rsidP="008D6CDC">
      <w:pPr>
        <w:spacing w:line="276" w:lineRule="auto"/>
        <w:ind w:left="-284"/>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Rakopoulos</w:t>
      </w:r>
      <w:proofErr w:type="spellEnd"/>
      <w:r w:rsidRPr="0062026B">
        <w:rPr>
          <w:rFonts w:asciiTheme="majorHAnsi" w:hAnsiTheme="majorHAnsi"/>
          <w:sz w:val="24"/>
          <w:szCs w:val="24"/>
          <w:lang w:val="en-GB"/>
        </w:rPr>
        <w:t xml:space="preserve"> T</w:t>
      </w:r>
      <w:r w:rsidR="00B53EB2">
        <w:rPr>
          <w:rFonts w:asciiTheme="majorHAnsi" w:hAnsiTheme="majorHAnsi"/>
          <w:sz w:val="24"/>
          <w:szCs w:val="24"/>
          <w:lang w:val="en-GB"/>
        </w:rPr>
        <w:t>.</w:t>
      </w:r>
      <w:r w:rsidRPr="0062026B">
        <w:rPr>
          <w:rFonts w:asciiTheme="majorHAnsi" w:hAnsiTheme="majorHAnsi"/>
          <w:sz w:val="24"/>
          <w:szCs w:val="24"/>
          <w:lang w:val="en-GB"/>
        </w:rPr>
        <w:t xml:space="preserve"> (2015) The Solidarity Economy in the Greek Crisis: </w:t>
      </w:r>
      <w:proofErr w:type="spellStart"/>
      <w:r w:rsidRPr="0062026B">
        <w:rPr>
          <w:rFonts w:asciiTheme="majorHAnsi" w:hAnsiTheme="majorHAnsi"/>
          <w:sz w:val="24"/>
          <w:szCs w:val="24"/>
          <w:lang w:val="en-GB"/>
        </w:rPr>
        <w:t>Movementality</w:t>
      </w:r>
      <w:proofErr w:type="spellEnd"/>
      <w:r w:rsidRPr="0062026B">
        <w:rPr>
          <w:rFonts w:asciiTheme="majorHAnsi" w:hAnsiTheme="majorHAnsi"/>
          <w:sz w:val="24"/>
          <w:szCs w:val="24"/>
          <w:lang w:val="en-GB"/>
        </w:rPr>
        <w:t xml:space="preserve">, economic democracy and social reproduction. in Hart, K. (ed.). </w:t>
      </w:r>
      <w:r w:rsidRPr="0062026B">
        <w:rPr>
          <w:rFonts w:asciiTheme="majorHAnsi" w:hAnsiTheme="majorHAnsi"/>
          <w:i/>
          <w:sz w:val="24"/>
          <w:szCs w:val="24"/>
          <w:lang w:val="en-GB"/>
        </w:rPr>
        <w:t>Economy for and against Democracy</w:t>
      </w:r>
      <w:r w:rsidRPr="0062026B">
        <w:rPr>
          <w:rFonts w:asciiTheme="majorHAnsi" w:hAnsiTheme="majorHAnsi"/>
          <w:sz w:val="24"/>
          <w:szCs w:val="24"/>
          <w:lang w:val="en-GB"/>
        </w:rPr>
        <w:t>. London and New</w:t>
      </w:r>
      <w:r w:rsidR="00B53EB2">
        <w:rPr>
          <w:rFonts w:asciiTheme="majorHAnsi" w:hAnsiTheme="majorHAnsi"/>
          <w:sz w:val="24"/>
          <w:szCs w:val="24"/>
          <w:lang w:val="en-GB"/>
        </w:rPr>
        <w:t xml:space="preserve"> York: </w:t>
      </w:r>
      <w:proofErr w:type="spellStart"/>
      <w:r w:rsidR="00B53EB2">
        <w:rPr>
          <w:rFonts w:asciiTheme="majorHAnsi" w:hAnsiTheme="majorHAnsi"/>
          <w:sz w:val="24"/>
          <w:szCs w:val="24"/>
          <w:lang w:val="en-GB"/>
        </w:rPr>
        <w:t>Berghahn</w:t>
      </w:r>
      <w:proofErr w:type="spellEnd"/>
      <w:r w:rsidR="00B53EB2">
        <w:rPr>
          <w:rFonts w:asciiTheme="majorHAnsi" w:hAnsiTheme="majorHAnsi"/>
          <w:sz w:val="24"/>
          <w:szCs w:val="24"/>
          <w:lang w:val="en-GB"/>
        </w:rPr>
        <w:t>. pp.</w:t>
      </w:r>
      <w:r w:rsidRPr="0062026B">
        <w:rPr>
          <w:rFonts w:asciiTheme="majorHAnsi" w:hAnsiTheme="majorHAnsi"/>
          <w:sz w:val="24"/>
          <w:szCs w:val="24"/>
          <w:lang w:val="en-GB"/>
        </w:rPr>
        <w:t xml:space="preserve"> 161-81</w:t>
      </w:r>
      <w:r w:rsidR="00B53EB2">
        <w:rPr>
          <w:rFonts w:asciiTheme="majorHAnsi" w:hAnsiTheme="majorHAnsi"/>
          <w:sz w:val="24"/>
          <w:szCs w:val="24"/>
          <w:lang w:val="en-GB"/>
        </w:rPr>
        <w:t>.</w:t>
      </w:r>
    </w:p>
    <w:p w:rsidR="0019138E" w:rsidRPr="0062026B" w:rsidRDefault="00B53EB2" w:rsidP="007C61AB">
      <w:pPr>
        <w:spacing w:line="276" w:lineRule="auto"/>
        <w:ind w:left="-284"/>
        <w:contextualSpacing/>
        <w:jc w:val="both"/>
        <w:rPr>
          <w:rFonts w:asciiTheme="majorHAnsi" w:hAnsiTheme="majorHAnsi"/>
          <w:sz w:val="24"/>
          <w:szCs w:val="24"/>
          <w:lang w:val="en-GB"/>
        </w:rPr>
      </w:pPr>
      <w:r>
        <w:rPr>
          <w:rFonts w:asciiTheme="majorHAnsi" w:hAnsiTheme="majorHAnsi"/>
          <w:sz w:val="24"/>
          <w:szCs w:val="24"/>
          <w:lang w:val="en-GB"/>
        </w:rPr>
        <w:t>Ray P.</w:t>
      </w:r>
      <w:r w:rsidR="0019138E" w:rsidRPr="0062026B">
        <w:rPr>
          <w:rFonts w:asciiTheme="majorHAnsi" w:hAnsiTheme="majorHAnsi"/>
          <w:sz w:val="24"/>
          <w:szCs w:val="24"/>
          <w:lang w:val="en-GB"/>
        </w:rPr>
        <w:t xml:space="preserve"> and Anderson S</w:t>
      </w:r>
      <w:r>
        <w:rPr>
          <w:rFonts w:asciiTheme="majorHAnsi" w:hAnsiTheme="majorHAnsi"/>
          <w:sz w:val="24"/>
          <w:szCs w:val="24"/>
          <w:lang w:val="en-GB"/>
        </w:rPr>
        <w:t>.</w:t>
      </w:r>
      <w:r w:rsidR="0019138E" w:rsidRPr="0062026B">
        <w:rPr>
          <w:rFonts w:asciiTheme="majorHAnsi" w:hAnsiTheme="majorHAnsi"/>
          <w:sz w:val="24"/>
          <w:szCs w:val="24"/>
          <w:lang w:val="en-GB"/>
        </w:rPr>
        <w:t>R</w:t>
      </w:r>
      <w:r>
        <w:rPr>
          <w:rFonts w:asciiTheme="majorHAnsi" w:hAnsiTheme="majorHAnsi"/>
          <w:sz w:val="24"/>
          <w:szCs w:val="24"/>
          <w:lang w:val="en-GB"/>
        </w:rPr>
        <w:t>.</w:t>
      </w:r>
      <w:r w:rsidR="0019138E" w:rsidRPr="0062026B">
        <w:rPr>
          <w:rFonts w:asciiTheme="majorHAnsi" w:hAnsiTheme="majorHAnsi"/>
          <w:sz w:val="24"/>
          <w:szCs w:val="24"/>
          <w:lang w:val="en-GB"/>
        </w:rPr>
        <w:t xml:space="preserve"> (2000) </w:t>
      </w:r>
      <w:r w:rsidR="0019138E" w:rsidRPr="0062026B">
        <w:rPr>
          <w:rFonts w:asciiTheme="majorHAnsi" w:hAnsiTheme="majorHAnsi"/>
          <w:i/>
          <w:sz w:val="24"/>
          <w:szCs w:val="24"/>
          <w:lang w:val="en-GB"/>
        </w:rPr>
        <w:t xml:space="preserve">The Cultural </w:t>
      </w:r>
      <w:proofErr w:type="spellStart"/>
      <w:r w:rsidR="0019138E" w:rsidRPr="0062026B">
        <w:rPr>
          <w:rFonts w:asciiTheme="majorHAnsi" w:hAnsiTheme="majorHAnsi"/>
          <w:i/>
          <w:sz w:val="24"/>
          <w:szCs w:val="24"/>
          <w:lang w:val="en-GB"/>
        </w:rPr>
        <w:t>Creatives</w:t>
      </w:r>
      <w:proofErr w:type="spellEnd"/>
      <w:r w:rsidR="0019138E" w:rsidRPr="0062026B">
        <w:rPr>
          <w:rFonts w:asciiTheme="majorHAnsi" w:hAnsiTheme="majorHAnsi"/>
          <w:sz w:val="24"/>
          <w:szCs w:val="24"/>
          <w:lang w:val="en-GB"/>
        </w:rPr>
        <w:t>. New York: Harmony Books</w:t>
      </w:r>
      <w:r>
        <w:rPr>
          <w:rFonts w:asciiTheme="majorHAnsi" w:hAnsiTheme="majorHAnsi"/>
          <w:sz w:val="24"/>
          <w:szCs w:val="24"/>
          <w:lang w:val="en-GB"/>
        </w:rPr>
        <w:t>.</w:t>
      </w:r>
    </w:p>
    <w:p w:rsidR="0019138E" w:rsidRPr="008D6CDC" w:rsidRDefault="0019138E" w:rsidP="008D6CDC">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Richter D</w:t>
      </w:r>
      <w:r w:rsidR="00B53EB2">
        <w:rPr>
          <w:rFonts w:asciiTheme="majorHAnsi" w:hAnsiTheme="majorHAnsi"/>
          <w:sz w:val="24"/>
          <w:szCs w:val="24"/>
          <w:lang w:val="en-GB"/>
        </w:rPr>
        <w:t>.</w:t>
      </w:r>
      <w:r w:rsidRPr="0062026B">
        <w:rPr>
          <w:rFonts w:asciiTheme="majorHAnsi" w:hAnsiTheme="majorHAnsi"/>
          <w:sz w:val="24"/>
          <w:szCs w:val="24"/>
          <w:lang w:val="en-GB"/>
        </w:rPr>
        <w:t xml:space="preserve"> (1990) </w:t>
      </w:r>
      <w:proofErr w:type="spellStart"/>
      <w:r w:rsidRPr="0062026B">
        <w:rPr>
          <w:rFonts w:asciiTheme="majorHAnsi" w:hAnsiTheme="majorHAnsi"/>
          <w:sz w:val="24"/>
          <w:szCs w:val="24"/>
          <w:lang w:val="en-GB"/>
        </w:rPr>
        <w:t>Zum</w:t>
      </w:r>
      <w:proofErr w:type="spellEnd"/>
      <w:r w:rsidRPr="0062026B">
        <w:rPr>
          <w:rFonts w:asciiTheme="majorHAnsi" w:hAnsiTheme="majorHAnsi"/>
          <w:sz w:val="24"/>
          <w:szCs w:val="24"/>
          <w:lang w:val="en-GB"/>
        </w:rPr>
        <w:t xml:space="preserve"> Forum [About Forum]. in </w:t>
      </w:r>
      <w:proofErr w:type="spellStart"/>
      <w:r w:rsidRPr="0062026B">
        <w:rPr>
          <w:rFonts w:asciiTheme="majorHAnsi" w:hAnsiTheme="majorHAnsi"/>
          <w:sz w:val="24"/>
          <w:szCs w:val="24"/>
          <w:lang w:val="en-GB"/>
        </w:rPr>
        <w:t>Möller</w:t>
      </w:r>
      <w:proofErr w:type="spellEnd"/>
      <w:r w:rsidRPr="0062026B">
        <w:rPr>
          <w:rFonts w:asciiTheme="majorHAnsi" w:hAnsiTheme="majorHAnsi"/>
          <w:sz w:val="24"/>
          <w:szCs w:val="24"/>
          <w:lang w:val="en-GB"/>
        </w:rPr>
        <w:t xml:space="preserve">, B., B. </w:t>
      </w:r>
      <w:proofErr w:type="spellStart"/>
      <w:r w:rsidRPr="0062026B">
        <w:rPr>
          <w:rFonts w:asciiTheme="majorHAnsi" w:hAnsiTheme="majorHAnsi"/>
          <w:sz w:val="24"/>
          <w:szCs w:val="24"/>
          <w:lang w:val="en-GB"/>
        </w:rPr>
        <w:t>Bumb</w:t>
      </w:r>
      <w:proofErr w:type="spellEnd"/>
      <w:r w:rsidRPr="0062026B">
        <w:rPr>
          <w:rFonts w:asciiTheme="majorHAnsi" w:hAnsiTheme="majorHAnsi"/>
          <w:sz w:val="24"/>
          <w:szCs w:val="24"/>
          <w:lang w:val="en-GB"/>
        </w:rPr>
        <w:t xml:space="preserve"> (ed.). </w:t>
      </w:r>
      <w:proofErr w:type="spellStart"/>
      <w:r w:rsidRPr="0062026B">
        <w:rPr>
          <w:rFonts w:asciiTheme="majorHAnsi" w:hAnsiTheme="majorHAnsi"/>
          <w:i/>
          <w:sz w:val="24"/>
          <w:szCs w:val="24"/>
          <w:lang w:val="en-GB"/>
        </w:rPr>
        <w:t>Sommercamp</w:t>
      </w:r>
      <w:proofErr w:type="spellEnd"/>
      <w:r w:rsidRPr="0062026B">
        <w:rPr>
          <w:rFonts w:asciiTheme="majorHAnsi" w:hAnsiTheme="majorHAnsi"/>
          <w:i/>
          <w:sz w:val="24"/>
          <w:szCs w:val="24"/>
          <w:lang w:val="en-GB"/>
        </w:rPr>
        <w:t xml:space="preserve"> </w:t>
      </w:r>
      <w:proofErr w:type="spellStart"/>
      <w:r w:rsidRPr="0062026B">
        <w:rPr>
          <w:rFonts w:asciiTheme="majorHAnsi" w:hAnsiTheme="majorHAnsi"/>
          <w:i/>
          <w:sz w:val="24"/>
          <w:szCs w:val="24"/>
          <w:lang w:val="en-GB"/>
        </w:rPr>
        <w:t>im</w:t>
      </w:r>
      <w:proofErr w:type="spellEnd"/>
      <w:r w:rsidRPr="0062026B">
        <w:rPr>
          <w:rFonts w:asciiTheme="majorHAnsi" w:hAnsiTheme="majorHAnsi"/>
          <w:i/>
          <w:sz w:val="24"/>
          <w:szCs w:val="24"/>
          <w:lang w:val="en-GB"/>
        </w:rPr>
        <w:t xml:space="preserve"> </w:t>
      </w:r>
      <w:proofErr w:type="spellStart"/>
      <w:r w:rsidRPr="0062026B">
        <w:rPr>
          <w:rFonts w:asciiTheme="majorHAnsi" w:hAnsiTheme="majorHAnsi"/>
          <w:i/>
          <w:sz w:val="24"/>
          <w:szCs w:val="24"/>
          <w:lang w:val="en-GB"/>
        </w:rPr>
        <w:t>Wilden</w:t>
      </w:r>
      <w:proofErr w:type="spellEnd"/>
      <w:r w:rsidRPr="0062026B">
        <w:rPr>
          <w:rFonts w:asciiTheme="majorHAnsi" w:hAnsiTheme="majorHAnsi"/>
          <w:i/>
          <w:sz w:val="24"/>
          <w:szCs w:val="24"/>
          <w:lang w:val="en-GB"/>
        </w:rPr>
        <w:t xml:space="preserve"> </w:t>
      </w:r>
      <w:proofErr w:type="spellStart"/>
      <w:r w:rsidRPr="0062026B">
        <w:rPr>
          <w:rFonts w:asciiTheme="majorHAnsi" w:hAnsiTheme="majorHAnsi"/>
          <w:i/>
          <w:sz w:val="24"/>
          <w:szCs w:val="24"/>
          <w:lang w:val="en-GB"/>
        </w:rPr>
        <w:t>Westen</w:t>
      </w:r>
      <w:proofErr w:type="spellEnd"/>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Summercamp</w:t>
      </w:r>
      <w:proofErr w:type="spellEnd"/>
      <w:r w:rsidRPr="0062026B">
        <w:rPr>
          <w:rFonts w:asciiTheme="majorHAnsi" w:hAnsiTheme="majorHAnsi"/>
          <w:sz w:val="24"/>
          <w:szCs w:val="24"/>
          <w:lang w:val="en-GB"/>
        </w:rPr>
        <w:t xml:space="preserve"> in the Wild West]. </w:t>
      </w:r>
      <w:proofErr w:type="spellStart"/>
      <w:r w:rsidRPr="0062026B">
        <w:rPr>
          <w:rFonts w:asciiTheme="majorHAnsi" w:hAnsiTheme="majorHAnsi"/>
          <w:sz w:val="24"/>
          <w:szCs w:val="24"/>
          <w:lang w:val="en-GB"/>
        </w:rPr>
        <w:t>Radolfzell</w:t>
      </w:r>
      <w:proofErr w:type="spellEnd"/>
      <w:r w:rsidRPr="0062026B">
        <w:rPr>
          <w:rFonts w:asciiTheme="majorHAnsi" w:hAnsiTheme="majorHAnsi"/>
          <w:sz w:val="24"/>
          <w:szCs w:val="24"/>
          <w:lang w:val="en-GB"/>
        </w:rPr>
        <w:t xml:space="preserve"> am Bodensee: </w:t>
      </w:r>
      <w:proofErr w:type="spellStart"/>
      <w:r w:rsidRPr="0062026B">
        <w:rPr>
          <w:rFonts w:asciiTheme="majorHAnsi" w:hAnsiTheme="majorHAnsi"/>
          <w:sz w:val="24"/>
          <w:szCs w:val="24"/>
          <w:lang w:val="en-GB"/>
        </w:rPr>
        <w:t>Verlag</w:t>
      </w:r>
      <w:proofErr w:type="spellEnd"/>
      <w:r w:rsidRPr="0062026B">
        <w:rPr>
          <w:rFonts w:asciiTheme="majorHAnsi" w:hAnsiTheme="majorHAnsi"/>
          <w:sz w:val="24"/>
          <w:szCs w:val="24"/>
          <w:lang w:val="en-GB"/>
        </w:rPr>
        <w:t xml:space="preserve"> </w:t>
      </w:r>
      <w:proofErr w:type="spellStart"/>
      <w:r w:rsidR="00B53EB2">
        <w:rPr>
          <w:rFonts w:asciiTheme="majorHAnsi" w:hAnsiTheme="majorHAnsi"/>
          <w:sz w:val="24"/>
          <w:szCs w:val="24"/>
          <w:lang w:val="en-GB"/>
        </w:rPr>
        <w:t>Meiga</w:t>
      </w:r>
      <w:proofErr w:type="spellEnd"/>
      <w:r w:rsidR="00B53EB2">
        <w:rPr>
          <w:rFonts w:asciiTheme="majorHAnsi" w:hAnsiTheme="majorHAnsi"/>
          <w:sz w:val="24"/>
          <w:szCs w:val="24"/>
          <w:lang w:val="en-GB"/>
        </w:rPr>
        <w:t>. pp.</w:t>
      </w:r>
      <w:r w:rsidRPr="0062026B">
        <w:rPr>
          <w:rFonts w:asciiTheme="majorHAnsi" w:hAnsiTheme="majorHAnsi"/>
          <w:sz w:val="24"/>
          <w:szCs w:val="24"/>
          <w:lang w:val="en-GB"/>
        </w:rPr>
        <w:t xml:space="preserve"> 15-40</w:t>
      </w:r>
      <w:r w:rsidR="00B53EB2">
        <w:rPr>
          <w:rFonts w:asciiTheme="majorHAnsi" w:hAnsiTheme="majorHAnsi"/>
          <w:sz w:val="24"/>
          <w:szCs w:val="24"/>
          <w:lang w:val="en-GB"/>
        </w:rPr>
        <w:t>.</w:t>
      </w:r>
    </w:p>
    <w:p w:rsidR="0019138E" w:rsidRPr="008D6CDC" w:rsidRDefault="0019138E" w:rsidP="008D6CDC">
      <w:pPr>
        <w:widowControl w:val="0"/>
        <w:autoSpaceDE w:val="0"/>
        <w:autoSpaceDN w:val="0"/>
        <w:adjustRightInd w:val="0"/>
        <w:spacing w:after="0" w:line="276" w:lineRule="auto"/>
        <w:ind w:left="-284" w:right="-291"/>
        <w:contextualSpacing/>
        <w:jc w:val="both"/>
        <w:rPr>
          <w:rFonts w:asciiTheme="majorHAnsi" w:hAnsiTheme="majorHAnsi"/>
          <w:i/>
          <w:iCs/>
          <w:sz w:val="24"/>
          <w:szCs w:val="24"/>
          <w:lang w:val="en-GB"/>
        </w:rPr>
      </w:pPr>
      <w:r w:rsidRPr="0062026B">
        <w:rPr>
          <w:rFonts w:asciiTheme="majorHAnsi" w:hAnsiTheme="majorHAnsi"/>
          <w:sz w:val="24"/>
          <w:szCs w:val="24"/>
          <w:lang w:val="en-GB"/>
        </w:rPr>
        <w:t xml:space="preserve">RIPESS (2013) </w:t>
      </w:r>
      <w:r w:rsidRPr="0062026B">
        <w:rPr>
          <w:rFonts w:asciiTheme="majorHAnsi" w:hAnsiTheme="majorHAnsi"/>
          <w:i/>
          <w:iCs/>
          <w:sz w:val="24"/>
          <w:szCs w:val="24"/>
          <w:lang w:val="en-GB"/>
        </w:rPr>
        <w:t>Document 2: RIPESS Working Paper - Differences and Convergences in Social Solidarity Economy Concepts, Definitions and Frameworks</w:t>
      </w:r>
      <w:r w:rsidRPr="0062026B">
        <w:rPr>
          <w:rFonts w:asciiTheme="majorHAnsi" w:hAnsiTheme="majorHAnsi"/>
          <w:sz w:val="24"/>
          <w:szCs w:val="24"/>
          <w:lang w:val="en-GB"/>
        </w:rPr>
        <w:t>. Internal document, 5th International Meeting of Social Solidarity Economy, Manila, The Philippines, October</w:t>
      </w:r>
      <w:r w:rsidR="008D6CDC">
        <w:rPr>
          <w:rFonts w:asciiTheme="majorHAnsi" w:hAnsiTheme="majorHAnsi"/>
          <w:sz w:val="24"/>
          <w:szCs w:val="24"/>
          <w:lang w:val="en-GB"/>
        </w:rPr>
        <w:t xml:space="preserve"> </w:t>
      </w:r>
      <w:r w:rsidRPr="0062026B">
        <w:rPr>
          <w:rFonts w:asciiTheme="majorHAnsi" w:hAnsiTheme="majorHAnsi"/>
          <w:sz w:val="24"/>
          <w:szCs w:val="24"/>
          <w:lang w:val="en-GB"/>
        </w:rPr>
        <w:t>2013</w:t>
      </w:r>
      <w:r w:rsidR="00F82877">
        <w:rPr>
          <w:rFonts w:asciiTheme="majorHAnsi" w:hAnsiTheme="majorHAnsi"/>
          <w:sz w:val="24"/>
          <w:szCs w:val="24"/>
          <w:lang w:val="en-GB"/>
        </w:rPr>
        <w:t>.</w:t>
      </w:r>
    </w:p>
    <w:p w:rsidR="0019138E" w:rsidRPr="00B53EB2" w:rsidRDefault="0019138E" w:rsidP="008D6CDC">
      <w:pPr>
        <w:widowControl w:val="0"/>
        <w:autoSpaceDE w:val="0"/>
        <w:autoSpaceDN w:val="0"/>
        <w:adjustRightInd w:val="0"/>
        <w:spacing w:after="0" w:line="276" w:lineRule="auto"/>
        <w:ind w:left="-284" w:right="-291"/>
        <w:contextualSpacing/>
        <w:jc w:val="both"/>
        <w:rPr>
          <w:rFonts w:asciiTheme="majorHAnsi" w:hAnsiTheme="majorHAnsi"/>
          <w:sz w:val="24"/>
          <w:szCs w:val="24"/>
          <w:lang w:val="en-GB"/>
        </w:rPr>
      </w:pPr>
      <w:proofErr w:type="spellStart"/>
      <w:r w:rsidRPr="0062026B">
        <w:rPr>
          <w:rFonts w:asciiTheme="majorHAnsi" w:hAnsiTheme="majorHAnsi"/>
          <w:sz w:val="24"/>
          <w:szCs w:val="24"/>
          <w:lang w:val="en-GB"/>
        </w:rPr>
        <w:t>Schor</w:t>
      </w:r>
      <w:proofErr w:type="spellEnd"/>
      <w:r w:rsidRPr="0062026B">
        <w:rPr>
          <w:rFonts w:asciiTheme="majorHAnsi" w:hAnsiTheme="majorHAnsi"/>
          <w:sz w:val="24"/>
          <w:szCs w:val="24"/>
          <w:lang w:val="en-GB"/>
        </w:rPr>
        <w:t xml:space="preserve"> J</w:t>
      </w:r>
      <w:r w:rsidR="00B53EB2">
        <w:rPr>
          <w:rFonts w:asciiTheme="majorHAnsi" w:hAnsiTheme="majorHAnsi"/>
          <w:sz w:val="24"/>
          <w:szCs w:val="24"/>
          <w:lang w:val="en-GB"/>
        </w:rPr>
        <w:t>.</w:t>
      </w:r>
      <w:r w:rsidRPr="0062026B">
        <w:rPr>
          <w:rFonts w:asciiTheme="majorHAnsi" w:hAnsiTheme="majorHAnsi"/>
          <w:sz w:val="24"/>
          <w:szCs w:val="24"/>
          <w:lang w:val="en-GB"/>
        </w:rPr>
        <w:t>B</w:t>
      </w:r>
      <w:r w:rsidR="00B53EB2">
        <w:rPr>
          <w:rFonts w:asciiTheme="majorHAnsi" w:hAnsiTheme="majorHAnsi"/>
          <w:sz w:val="24"/>
          <w:szCs w:val="24"/>
          <w:lang w:val="en-GB"/>
        </w:rPr>
        <w:t>.</w:t>
      </w:r>
      <w:r w:rsidRPr="0062026B">
        <w:rPr>
          <w:rFonts w:asciiTheme="majorHAnsi" w:hAnsiTheme="majorHAnsi"/>
          <w:sz w:val="24"/>
          <w:szCs w:val="24"/>
          <w:lang w:val="en-GB"/>
        </w:rPr>
        <w:t>, Fitzmaurice C</w:t>
      </w:r>
      <w:r w:rsidR="00B53EB2">
        <w:rPr>
          <w:rFonts w:asciiTheme="majorHAnsi" w:hAnsiTheme="majorHAnsi"/>
          <w:sz w:val="24"/>
          <w:szCs w:val="24"/>
          <w:lang w:val="en-GB"/>
        </w:rPr>
        <w:t>.</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Carfagna</w:t>
      </w:r>
      <w:proofErr w:type="spellEnd"/>
      <w:r w:rsidRPr="0062026B">
        <w:rPr>
          <w:rFonts w:asciiTheme="majorHAnsi" w:hAnsiTheme="majorHAnsi"/>
          <w:sz w:val="24"/>
          <w:szCs w:val="24"/>
          <w:lang w:val="en-GB"/>
        </w:rPr>
        <w:t xml:space="preserve"> L</w:t>
      </w:r>
      <w:r w:rsidR="00B53EB2">
        <w:rPr>
          <w:rFonts w:asciiTheme="majorHAnsi" w:hAnsiTheme="majorHAnsi"/>
          <w:sz w:val="24"/>
          <w:szCs w:val="24"/>
          <w:lang w:val="en-GB"/>
        </w:rPr>
        <w:t>.</w:t>
      </w:r>
      <w:r w:rsidRPr="0062026B">
        <w:rPr>
          <w:rFonts w:asciiTheme="majorHAnsi" w:hAnsiTheme="majorHAnsi"/>
          <w:sz w:val="24"/>
          <w:szCs w:val="24"/>
          <w:lang w:val="en-GB"/>
        </w:rPr>
        <w:t>B</w:t>
      </w:r>
      <w:r w:rsidR="00B53EB2">
        <w:rPr>
          <w:rFonts w:asciiTheme="majorHAnsi" w:hAnsiTheme="majorHAnsi"/>
          <w:sz w:val="24"/>
          <w:szCs w:val="24"/>
          <w:lang w:val="en-GB"/>
        </w:rPr>
        <w:t>.</w:t>
      </w:r>
      <w:r w:rsidRPr="0062026B">
        <w:rPr>
          <w:rFonts w:asciiTheme="majorHAnsi" w:hAnsiTheme="majorHAnsi"/>
          <w:sz w:val="24"/>
          <w:szCs w:val="24"/>
          <w:lang w:val="en-GB"/>
        </w:rPr>
        <w:t xml:space="preserve"> and Atwood-Charles W</w:t>
      </w:r>
      <w:r w:rsidR="00B53EB2">
        <w:rPr>
          <w:rFonts w:asciiTheme="majorHAnsi" w:hAnsiTheme="majorHAnsi"/>
          <w:sz w:val="24"/>
          <w:szCs w:val="24"/>
          <w:lang w:val="en-GB"/>
        </w:rPr>
        <w:t>.</w:t>
      </w:r>
      <w:r w:rsidRPr="0062026B">
        <w:rPr>
          <w:rFonts w:asciiTheme="majorHAnsi" w:hAnsiTheme="majorHAnsi"/>
          <w:sz w:val="24"/>
          <w:szCs w:val="24"/>
          <w:lang w:val="en-GB"/>
        </w:rPr>
        <w:t xml:space="preserve"> (2016) </w:t>
      </w:r>
      <w:r w:rsidR="00F82877">
        <w:rPr>
          <w:rFonts w:asciiTheme="majorHAnsi" w:hAnsiTheme="majorHAnsi"/>
          <w:sz w:val="24"/>
          <w:szCs w:val="24"/>
          <w:lang w:val="en-GB"/>
        </w:rPr>
        <w:t>“</w:t>
      </w:r>
      <w:r w:rsidRPr="0062026B">
        <w:rPr>
          <w:rFonts w:asciiTheme="majorHAnsi" w:hAnsiTheme="majorHAnsi"/>
          <w:sz w:val="24"/>
          <w:szCs w:val="24"/>
          <w:lang w:val="en-GB"/>
        </w:rPr>
        <w:t>Paradoxes of openness and dis</w:t>
      </w:r>
      <w:r w:rsidR="00F82877">
        <w:rPr>
          <w:rFonts w:asciiTheme="majorHAnsi" w:hAnsiTheme="majorHAnsi"/>
          <w:sz w:val="24"/>
          <w:szCs w:val="24"/>
          <w:lang w:val="en-GB"/>
        </w:rPr>
        <w:t>tinction in the sharing economy”,</w:t>
      </w:r>
      <w:r w:rsidRPr="0062026B">
        <w:rPr>
          <w:rFonts w:asciiTheme="majorHAnsi" w:hAnsiTheme="majorHAnsi"/>
          <w:sz w:val="24"/>
          <w:szCs w:val="24"/>
          <w:lang w:val="en-GB"/>
        </w:rPr>
        <w:t xml:space="preserve"> </w:t>
      </w:r>
      <w:r w:rsidRPr="00F82877">
        <w:rPr>
          <w:rFonts w:asciiTheme="majorHAnsi" w:hAnsiTheme="majorHAnsi"/>
          <w:i/>
          <w:sz w:val="24"/>
          <w:szCs w:val="24"/>
        </w:rPr>
        <w:t>Poetics</w:t>
      </w:r>
      <w:r w:rsidR="00F82877" w:rsidRPr="00F82877">
        <w:rPr>
          <w:rFonts w:asciiTheme="majorHAnsi" w:hAnsiTheme="majorHAnsi"/>
          <w:i/>
          <w:sz w:val="24"/>
          <w:szCs w:val="24"/>
        </w:rPr>
        <w:t>,</w:t>
      </w:r>
      <w:r w:rsidR="00B53EB2">
        <w:rPr>
          <w:rFonts w:asciiTheme="majorHAnsi" w:hAnsiTheme="majorHAnsi"/>
          <w:sz w:val="24"/>
          <w:szCs w:val="24"/>
        </w:rPr>
        <w:t xml:space="preserve"> 54,</w:t>
      </w:r>
      <w:r w:rsidR="00F82877">
        <w:rPr>
          <w:rFonts w:asciiTheme="majorHAnsi" w:hAnsiTheme="majorHAnsi"/>
          <w:sz w:val="24"/>
          <w:szCs w:val="24"/>
        </w:rPr>
        <w:t xml:space="preserve"> pp.</w:t>
      </w:r>
      <w:r w:rsidRPr="00F82877">
        <w:rPr>
          <w:rFonts w:asciiTheme="majorHAnsi" w:hAnsiTheme="majorHAnsi"/>
          <w:sz w:val="24"/>
          <w:szCs w:val="24"/>
        </w:rPr>
        <w:t xml:space="preserve"> 66-81</w:t>
      </w:r>
      <w:r w:rsidR="00F82877">
        <w:rPr>
          <w:rFonts w:asciiTheme="majorHAnsi" w:hAnsiTheme="majorHAnsi"/>
          <w:sz w:val="24"/>
          <w:szCs w:val="24"/>
        </w:rPr>
        <w:t>.</w:t>
      </w:r>
    </w:p>
    <w:p w:rsidR="0019138E" w:rsidRPr="00F82877" w:rsidRDefault="0019138E" w:rsidP="008D6CDC">
      <w:pPr>
        <w:widowControl w:val="0"/>
        <w:autoSpaceDE w:val="0"/>
        <w:autoSpaceDN w:val="0"/>
        <w:adjustRightInd w:val="0"/>
        <w:spacing w:after="0" w:line="276" w:lineRule="auto"/>
        <w:ind w:left="-284" w:right="-291"/>
        <w:contextualSpacing/>
        <w:jc w:val="both"/>
        <w:rPr>
          <w:rFonts w:asciiTheme="majorHAnsi" w:hAnsiTheme="majorHAnsi"/>
          <w:sz w:val="24"/>
          <w:szCs w:val="24"/>
          <w:lang w:val="pt-PT"/>
        </w:rPr>
      </w:pPr>
      <w:r w:rsidRPr="00F82877">
        <w:rPr>
          <w:rFonts w:asciiTheme="majorHAnsi" w:hAnsiTheme="majorHAnsi"/>
          <w:sz w:val="24"/>
          <w:szCs w:val="24"/>
          <w:lang w:val="pt-PT"/>
        </w:rPr>
        <w:t>Singer, P</w:t>
      </w:r>
      <w:r w:rsidR="00B53EB2">
        <w:rPr>
          <w:rFonts w:asciiTheme="majorHAnsi" w:hAnsiTheme="majorHAnsi"/>
          <w:sz w:val="24"/>
          <w:szCs w:val="24"/>
          <w:lang w:val="pt-PT"/>
        </w:rPr>
        <w:t>.</w:t>
      </w:r>
      <w:r w:rsidRPr="00F82877">
        <w:rPr>
          <w:rFonts w:asciiTheme="majorHAnsi" w:hAnsiTheme="majorHAnsi"/>
          <w:sz w:val="24"/>
          <w:szCs w:val="24"/>
          <w:lang w:val="pt-PT"/>
        </w:rPr>
        <w:t xml:space="preserve"> (2002) </w:t>
      </w:r>
      <w:r w:rsidRPr="00F82877">
        <w:rPr>
          <w:rFonts w:asciiTheme="majorHAnsi" w:hAnsiTheme="majorHAnsi"/>
          <w:i/>
          <w:iCs/>
          <w:sz w:val="24"/>
          <w:szCs w:val="24"/>
          <w:lang w:val="pt-PT"/>
        </w:rPr>
        <w:t>Introdução à Economia Solidária</w:t>
      </w:r>
      <w:r w:rsidRPr="00F82877">
        <w:rPr>
          <w:rFonts w:asciiTheme="majorHAnsi" w:hAnsiTheme="majorHAnsi"/>
          <w:sz w:val="24"/>
          <w:szCs w:val="24"/>
          <w:lang w:val="pt-PT"/>
        </w:rPr>
        <w:t xml:space="preserve"> [Introduction to Solidarity</w:t>
      </w:r>
      <w:r w:rsidR="00F82877" w:rsidRPr="00F82877">
        <w:rPr>
          <w:rFonts w:asciiTheme="majorHAnsi" w:hAnsiTheme="majorHAnsi"/>
          <w:sz w:val="24"/>
          <w:szCs w:val="24"/>
          <w:lang w:val="pt-PT"/>
        </w:rPr>
        <w:t xml:space="preserve"> Economy],</w:t>
      </w:r>
      <w:r w:rsidRPr="00F82877">
        <w:rPr>
          <w:rFonts w:asciiTheme="majorHAnsi" w:hAnsiTheme="majorHAnsi"/>
          <w:sz w:val="24"/>
          <w:szCs w:val="24"/>
          <w:lang w:val="pt-PT"/>
        </w:rPr>
        <w:t xml:space="preserve"> São Paulo: Editora Fundação Perseu Abramo</w:t>
      </w:r>
      <w:r w:rsidR="00F82877" w:rsidRPr="00F82877">
        <w:rPr>
          <w:rFonts w:asciiTheme="majorHAnsi" w:hAnsiTheme="majorHAnsi"/>
          <w:sz w:val="24"/>
          <w:szCs w:val="24"/>
          <w:lang w:val="pt-PT"/>
        </w:rPr>
        <w:t>.</w:t>
      </w:r>
    </w:p>
    <w:p w:rsidR="0019138E" w:rsidRPr="008D6CDC" w:rsidRDefault="0019138E" w:rsidP="008D6CDC">
      <w:pPr>
        <w:spacing w:line="276" w:lineRule="auto"/>
        <w:ind w:left="-284"/>
        <w:contextualSpacing/>
        <w:jc w:val="both"/>
        <w:rPr>
          <w:rFonts w:asciiTheme="majorHAnsi" w:hAnsiTheme="majorHAnsi"/>
          <w:i/>
          <w:sz w:val="24"/>
          <w:szCs w:val="24"/>
          <w:lang w:val="en-GB"/>
        </w:rPr>
      </w:pPr>
      <w:r w:rsidRPr="0062026B">
        <w:rPr>
          <w:rFonts w:asciiTheme="majorHAnsi" w:hAnsiTheme="majorHAnsi"/>
          <w:sz w:val="24"/>
          <w:szCs w:val="24"/>
          <w:lang w:val="en-GB"/>
        </w:rPr>
        <w:t>Thomas, H</w:t>
      </w:r>
      <w:r w:rsidR="00B53EB2">
        <w:rPr>
          <w:rFonts w:asciiTheme="majorHAnsi" w:hAnsiTheme="majorHAnsi"/>
          <w:sz w:val="24"/>
          <w:szCs w:val="24"/>
          <w:lang w:val="en-GB"/>
        </w:rPr>
        <w:t>.</w:t>
      </w:r>
      <w:r w:rsidRPr="0062026B">
        <w:rPr>
          <w:rFonts w:asciiTheme="majorHAnsi" w:hAnsiTheme="majorHAnsi"/>
          <w:sz w:val="24"/>
          <w:szCs w:val="24"/>
          <w:lang w:val="en-GB"/>
        </w:rPr>
        <w:t xml:space="preserve"> and Thomas M</w:t>
      </w:r>
      <w:r w:rsidR="00B53EB2">
        <w:rPr>
          <w:rFonts w:asciiTheme="majorHAnsi" w:hAnsiTheme="majorHAnsi"/>
          <w:sz w:val="24"/>
          <w:szCs w:val="24"/>
          <w:lang w:val="en-GB"/>
        </w:rPr>
        <w:t>.</w:t>
      </w:r>
      <w:r w:rsidRPr="0062026B">
        <w:rPr>
          <w:rFonts w:asciiTheme="majorHAnsi" w:hAnsiTheme="majorHAnsi"/>
          <w:sz w:val="24"/>
          <w:szCs w:val="24"/>
          <w:lang w:val="en-GB"/>
        </w:rPr>
        <w:t xml:space="preserve"> (2013) </w:t>
      </w:r>
      <w:r w:rsidRPr="0062026B">
        <w:rPr>
          <w:rFonts w:asciiTheme="majorHAnsi" w:hAnsiTheme="majorHAnsi"/>
          <w:i/>
          <w:sz w:val="24"/>
          <w:szCs w:val="24"/>
          <w:lang w:val="en-GB"/>
        </w:rPr>
        <w:t xml:space="preserve">Economics for People and Earth: The </w:t>
      </w:r>
      <w:proofErr w:type="spellStart"/>
      <w:r w:rsidRPr="0062026B">
        <w:rPr>
          <w:rFonts w:asciiTheme="majorHAnsi" w:hAnsiTheme="majorHAnsi"/>
          <w:i/>
          <w:sz w:val="24"/>
          <w:szCs w:val="24"/>
          <w:lang w:val="en-GB"/>
        </w:rPr>
        <w:t>Auroville</w:t>
      </w:r>
      <w:proofErr w:type="spellEnd"/>
      <w:r w:rsidRPr="0062026B">
        <w:rPr>
          <w:rFonts w:asciiTheme="majorHAnsi" w:hAnsiTheme="majorHAnsi"/>
          <w:i/>
          <w:sz w:val="24"/>
          <w:szCs w:val="24"/>
          <w:lang w:val="en-GB"/>
        </w:rPr>
        <w:t xml:space="preserve"> Case 1968-2008</w:t>
      </w:r>
      <w:r w:rsidR="00F82877">
        <w:rPr>
          <w:rFonts w:asciiTheme="majorHAnsi" w:hAnsiTheme="majorHAnsi"/>
          <w:sz w:val="24"/>
          <w:szCs w:val="24"/>
          <w:lang w:val="en-GB"/>
        </w:rPr>
        <w:t>,</w:t>
      </w:r>
      <w:r w:rsidRPr="0062026B">
        <w:rPr>
          <w:rFonts w:asciiTheme="majorHAnsi" w:hAnsiTheme="majorHAnsi"/>
          <w:sz w:val="24"/>
          <w:szCs w:val="24"/>
          <w:lang w:val="en-GB"/>
        </w:rPr>
        <w:t xml:space="preserve"> </w:t>
      </w:r>
      <w:proofErr w:type="spellStart"/>
      <w:r w:rsidRPr="0062026B">
        <w:rPr>
          <w:rFonts w:asciiTheme="majorHAnsi" w:hAnsiTheme="majorHAnsi"/>
          <w:sz w:val="24"/>
          <w:szCs w:val="24"/>
          <w:lang w:val="en-GB"/>
        </w:rPr>
        <w:t>Auroville</w:t>
      </w:r>
      <w:proofErr w:type="spellEnd"/>
      <w:r w:rsidRPr="0062026B">
        <w:rPr>
          <w:rFonts w:asciiTheme="majorHAnsi" w:hAnsiTheme="majorHAnsi"/>
          <w:sz w:val="24"/>
          <w:szCs w:val="24"/>
          <w:lang w:val="en-GB"/>
        </w:rPr>
        <w:t xml:space="preserve">, Tamil Nadu: Social Research </w:t>
      </w:r>
      <w:proofErr w:type="spellStart"/>
      <w:r w:rsidRPr="0062026B">
        <w:rPr>
          <w:rFonts w:asciiTheme="majorHAnsi" w:hAnsiTheme="majorHAnsi"/>
          <w:sz w:val="24"/>
          <w:szCs w:val="24"/>
          <w:lang w:val="en-GB"/>
        </w:rPr>
        <w:t>Center</w:t>
      </w:r>
      <w:proofErr w:type="spellEnd"/>
      <w:r w:rsidR="00F82877">
        <w:rPr>
          <w:rFonts w:asciiTheme="majorHAnsi" w:hAnsiTheme="majorHAnsi"/>
          <w:sz w:val="24"/>
          <w:szCs w:val="24"/>
          <w:lang w:val="en-GB"/>
        </w:rPr>
        <w:t>.</w:t>
      </w:r>
    </w:p>
    <w:p w:rsidR="0019138E" w:rsidRPr="008D6CDC" w:rsidRDefault="0019138E" w:rsidP="008D6CDC">
      <w:pPr>
        <w:spacing w:line="276" w:lineRule="auto"/>
        <w:ind w:left="-284"/>
        <w:contextualSpacing/>
        <w:jc w:val="both"/>
        <w:rPr>
          <w:rFonts w:asciiTheme="majorHAnsi" w:hAnsiTheme="majorHAnsi"/>
          <w:i/>
          <w:sz w:val="24"/>
          <w:szCs w:val="24"/>
          <w:lang w:val="en-GB"/>
        </w:rPr>
      </w:pPr>
      <w:proofErr w:type="spellStart"/>
      <w:r w:rsidRPr="0062026B">
        <w:rPr>
          <w:rFonts w:asciiTheme="majorHAnsi" w:hAnsiTheme="majorHAnsi"/>
          <w:sz w:val="24"/>
          <w:szCs w:val="24"/>
          <w:lang w:val="en-GB"/>
        </w:rPr>
        <w:t>Tibbs</w:t>
      </w:r>
      <w:proofErr w:type="spellEnd"/>
      <w:r w:rsidRPr="0062026B">
        <w:rPr>
          <w:rFonts w:asciiTheme="majorHAnsi" w:hAnsiTheme="majorHAnsi"/>
          <w:sz w:val="24"/>
          <w:szCs w:val="24"/>
          <w:lang w:val="en-GB"/>
        </w:rPr>
        <w:t>, H</w:t>
      </w:r>
      <w:r w:rsidR="00B53EB2">
        <w:rPr>
          <w:rFonts w:asciiTheme="majorHAnsi" w:hAnsiTheme="majorHAnsi"/>
          <w:sz w:val="24"/>
          <w:szCs w:val="24"/>
          <w:lang w:val="en-GB"/>
        </w:rPr>
        <w:t>.</w:t>
      </w:r>
      <w:r w:rsidRPr="0062026B">
        <w:rPr>
          <w:rFonts w:asciiTheme="majorHAnsi" w:hAnsiTheme="majorHAnsi"/>
          <w:sz w:val="24"/>
          <w:szCs w:val="24"/>
          <w:lang w:val="en-GB"/>
        </w:rPr>
        <w:t xml:space="preserve"> (2011) </w:t>
      </w:r>
      <w:r w:rsidR="00F82877">
        <w:rPr>
          <w:rFonts w:asciiTheme="majorHAnsi" w:hAnsiTheme="majorHAnsi"/>
          <w:sz w:val="24"/>
          <w:szCs w:val="24"/>
          <w:lang w:val="en-GB"/>
        </w:rPr>
        <w:t>“</w:t>
      </w:r>
      <w:r w:rsidRPr="0062026B">
        <w:rPr>
          <w:rFonts w:asciiTheme="majorHAnsi" w:hAnsiTheme="majorHAnsi"/>
          <w:sz w:val="24"/>
          <w:szCs w:val="24"/>
          <w:lang w:val="en-GB"/>
        </w:rPr>
        <w:t>Changing Cultural Values and t</w:t>
      </w:r>
      <w:r w:rsidR="00F82877">
        <w:rPr>
          <w:rFonts w:asciiTheme="majorHAnsi" w:hAnsiTheme="majorHAnsi"/>
          <w:sz w:val="24"/>
          <w:szCs w:val="24"/>
          <w:lang w:val="en-GB"/>
        </w:rPr>
        <w:t>he Transition to Sustainability”,</w:t>
      </w:r>
      <w:r w:rsidRPr="0062026B">
        <w:rPr>
          <w:rFonts w:asciiTheme="majorHAnsi" w:hAnsiTheme="majorHAnsi"/>
          <w:sz w:val="24"/>
          <w:szCs w:val="24"/>
          <w:lang w:val="en-GB"/>
        </w:rPr>
        <w:t xml:space="preserve"> </w:t>
      </w:r>
      <w:r w:rsidRPr="0062026B">
        <w:rPr>
          <w:rFonts w:asciiTheme="majorHAnsi" w:hAnsiTheme="majorHAnsi"/>
          <w:i/>
          <w:sz w:val="24"/>
          <w:szCs w:val="24"/>
          <w:lang w:val="en-GB"/>
        </w:rPr>
        <w:t>Journal of Futures Studies</w:t>
      </w:r>
      <w:r w:rsidR="00B53EB2">
        <w:rPr>
          <w:rFonts w:asciiTheme="majorHAnsi" w:hAnsiTheme="majorHAnsi"/>
          <w:sz w:val="24"/>
          <w:szCs w:val="24"/>
          <w:lang w:val="en-GB"/>
        </w:rPr>
        <w:t>, 15, 3,</w:t>
      </w:r>
      <w:r w:rsidR="00F82877">
        <w:rPr>
          <w:rFonts w:asciiTheme="majorHAnsi" w:hAnsiTheme="majorHAnsi"/>
          <w:sz w:val="24"/>
          <w:szCs w:val="24"/>
          <w:lang w:val="en-GB"/>
        </w:rPr>
        <w:t xml:space="preserve"> pp.</w:t>
      </w:r>
      <w:r w:rsidRPr="0062026B">
        <w:rPr>
          <w:rFonts w:asciiTheme="majorHAnsi" w:hAnsiTheme="majorHAnsi"/>
          <w:sz w:val="24"/>
          <w:szCs w:val="24"/>
          <w:lang w:val="en-GB"/>
        </w:rPr>
        <w:t xml:space="preserve"> 13-32</w:t>
      </w:r>
      <w:r w:rsidR="00F82877">
        <w:rPr>
          <w:rFonts w:asciiTheme="majorHAnsi" w:hAnsiTheme="majorHAnsi"/>
          <w:sz w:val="24"/>
          <w:szCs w:val="24"/>
          <w:lang w:val="en-GB"/>
        </w:rPr>
        <w:t>.</w:t>
      </w:r>
    </w:p>
    <w:p w:rsidR="0019138E" w:rsidRPr="0062026B" w:rsidRDefault="0019138E" w:rsidP="007C23BE">
      <w:pPr>
        <w:pStyle w:val="Notedefin"/>
        <w:spacing w:line="276" w:lineRule="auto"/>
        <w:ind w:left="-284"/>
        <w:contextualSpacing/>
        <w:jc w:val="both"/>
        <w:rPr>
          <w:rFonts w:asciiTheme="majorHAnsi" w:hAnsiTheme="majorHAnsi"/>
          <w:sz w:val="24"/>
          <w:szCs w:val="24"/>
        </w:rPr>
      </w:pPr>
    </w:p>
    <w:p w:rsidR="00650BA0" w:rsidRPr="0062026B" w:rsidRDefault="00650BA0" w:rsidP="007C23BE">
      <w:pPr>
        <w:spacing w:line="276" w:lineRule="auto"/>
        <w:ind w:left="-284" w:right="-489"/>
        <w:contextualSpacing/>
        <w:jc w:val="both"/>
        <w:rPr>
          <w:rFonts w:asciiTheme="majorHAnsi" w:hAnsiTheme="majorHAnsi"/>
          <w:b/>
          <w:sz w:val="24"/>
          <w:szCs w:val="24"/>
          <w:lang w:val="en-GB"/>
        </w:rPr>
      </w:pPr>
    </w:p>
    <w:p w:rsidR="00650BA0" w:rsidRPr="0062026B" w:rsidRDefault="00650BA0" w:rsidP="007C23BE">
      <w:pPr>
        <w:spacing w:line="276" w:lineRule="auto"/>
        <w:ind w:left="-284" w:firstLine="720"/>
        <w:contextualSpacing/>
        <w:jc w:val="both"/>
        <w:rPr>
          <w:rFonts w:asciiTheme="majorHAnsi" w:hAnsiTheme="majorHAnsi" w:cs="Times New Roman"/>
          <w:sz w:val="24"/>
          <w:szCs w:val="24"/>
        </w:rPr>
      </w:pPr>
    </w:p>
    <w:p w:rsidR="00650BA0" w:rsidRPr="0062026B" w:rsidRDefault="00650BA0" w:rsidP="007C23BE">
      <w:pPr>
        <w:spacing w:line="276" w:lineRule="auto"/>
        <w:ind w:left="-284" w:firstLine="720"/>
        <w:contextualSpacing/>
        <w:jc w:val="both"/>
        <w:rPr>
          <w:rFonts w:asciiTheme="majorHAnsi" w:hAnsiTheme="majorHAnsi" w:cs="Times New Roman"/>
          <w:sz w:val="24"/>
          <w:szCs w:val="24"/>
        </w:rPr>
      </w:pPr>
    </w:p>
    <w:p w:rsidR="00650BA0" w:rsidRPr="0062026B" w:rsidRDefault="00650BA0" w:rsidP="007C23BE">
      <w:pPr>
        <w:spacing w:line="276" w:lineRule="auto"/>
        <w:ind w:left="-284" w:firstLine="720"/>
        <w:contextualSpacing/>
        <w:jc w:val="both"/>
        <w:rPr>
          <w:rFonts w:asciiTheme="majorHAnsi" w:hAnsiTheme="majorHAnsi" w:cs="Times New Roman"/>
          <w:sz w:val="24"/>
          <w:szCs w:val="24"/>
        </w:rPr>
      </w:pPr>
    </w:p>
    <w:p w:rsidR="00650BA0" w:rsidRPr="0062026B" w:rsidRDefault="00650BA0" w:rsidP="007C23BE">
      <w:pPr>
        <w:spacing w:line="276" w:lineRule="auto"/>
        <w:ind w:left="-284" w:firstLine="720"/>
        <w:contextualSpacing/>
        <w:jc w:val="both"/>
        <w:rPr>
          <w:rFonts w:asciiTheme="majorHAnsi" w:hAnsiTheme="majorHAnsi" w:cs="Times New Roman"/>
          <w:sz w:val="24"/>
          <w:szCs w:val="24"/>
        </w:rPr>
      </w:pPr>
    </w:p>
    <w:p w:rsidR="00650BA0" w:rsidRPr="0062026B" w:rsidRDefault="00650BA0" w:rsidP="007C23BE">
      <w:pPr>
        <w:spacing w:line="276" w:lineRule="auto"/>
        <w:ind w:left="-284" w:firstLine="720"/>
        <w:contextualSpacing/>
        <w:jc w:val="both"/>
        <w:rPr>
          <w:rFonts w:asciiTheme="majorHAnsi" w:hAnsiTheme="majorHAnsi" w:cs="Times New Roman"/>
          <w:sz w:val="24"/>
          <w:szCs w:val="24"/>
        </w:rPr>
      </w:pPr>
    </w:p>
    <w:p w:rsidR="002B60D3" w:rsidRPr="0062026B" w:rsidRDefault="002B60D3" w:rsidP="007C23BE">
      <w:pPr>
        <w:spacing w:line="276" w:lineRule="auto"/>
        <w:ind w:left="-284" w:firstLine="720"/>
        <w:contextualSpacing/>
        <w:jc w:val="both"/>
        <w:rPr>
          <w:rFonts w:asciiTheme="majorHAnsi" w:hAnsiTheme="majorHAnsi" w:cs="Times New Roman"/>
          <w:sz w:val="24"/>
          <w:szCs w:val="24"/>
        </w:rPr>
      </w:pPr>
    </w:p>
    <w:p w:rsidR="00CD056B" w:rsidRPr="0062026B" w:rsidRDefault="00CD056B" w:rsidP="007C23BE">
      <w:pPr>
        <w:spacing w:line="276" w:lineRule="auto"/>
        <w:ind w:left="-284"/>
        <w:contextualSpacing/>
        <w:jc w:val="both"/>
        <w:rPr>
          <w:rFonts w:asciiTheme="majorHAnsi" w:hAnsiTheme="majorHAnsi"/>
          <w:sz w:val="24"/>
          <w:szCs w:val="24"/>
        </w:rPr>
      </w:pPr>
    </w:p>
    <w:sectPr w:rsidR="00CD056B" w:rsidRPr="0062026B" w:rsidSect="00DB2C5E">
      <w:footerReference w:type="default" r:id="rId9"/>
      <w:pgSz w:w="11900" w:h="16840"/>
      <w:pgMar w:top="1440" w:right="1531" w:bottom="1440" w:left="1559"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A89" w:rsidRDefault="005E5A89">
      <w:pPr>
        <w:spacing w:after="0" w:line="240" w:lineRule="auto"/>
      </w:pPr>
      <w:r>
        <w:separator/>
      </w:r>
    </w:p>
  </w:endnote>
  <w:endnote w:type="continuationSeparator" w:id="0">
    <w:p w:rsidR="005E5A89" w:rsidRDefault="005E5A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939971"/>
      <w:docPartObj>
        <w:docPartGallery w:val="Page Numbers (Bottom of Page)"/>
        <w:docPartUnique/>
      </w:docPartObj>
    </w:sdtPr>
    <w:sdtEndPr>
      <w:rPr>
        <w:noProof/>
      </w:rPr>
    </w:sdtEndPr>
    <w:sdtContent>
      <w:p w:rsidR="00A964F9" w:rsidRDefault="00145593">
        <w:pPr>
          <w:pStyle w:val="Pieddepage"/>
          <w:jc w:val="right"/>
        </w:pPr>
        <w:fldSimple w:instr=" PAGE   \* MERGEFORMAT ">
          <w:r w:rsidR="008D423C">
            <w:rPr>
              <w:noProof/>
            </w:rPr>
            <w:t>10</w:t>
          </w:r>
        </w:fldSimple>
      </w:p>
    </w:sdtContent>
  </w:sdt>
  <w:p w:rsidR="00A964F9" w:rsidRDefault="00A964F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A89" w:rsidRDefault="005E5A89">
      <w:pPr>
        <w:spacing w:after="0" w:line="240" w:lineRule="auto"/>
      </w:pPr>
      <w:r>
        <w:separator/>
      </w:r>
    </w:p>
  </w:footnote>
  <w:footnote w:type="continuationSeparator" w:id="0">
    <w:p w:rsidR="005E5A89" w:rsidRDefault="005E5A89">
      <w:pPr>
        <w:spacing w:after="0" w:line="240" w:lineRule="auto"/>
      </w:pPr>
      <w:r>
        <w:continuationSeparator/>
      </w:r>
    </w:p>
  </w:footnote>
  <w:footnote w:id="1">
    <w:p w:rsidR="00A964F9" w:rsidRPr="0062026B" w:rsidRDefault="00A964F9" w:rsidP="00D4556E">
      <w:pPr>
        <w:pStyle w:val="Notedebasdepage"/>
        <w:jc w:val="both"/>
        <w:rPr>
          <w:rFonts w:asciiTheme="majorHAnsi" w:hAnsiTheme="majorHAnsi"/>
        </w:rPr>
      </w:pPr>
      <w:r w:rsidRPr="0062026B">
        <w:rPr>
          <w:rStyle w:val="Appelnotedebasdep"/>
          <w:rFonts w:asciiTheme="majorHAnsi" w:hAnsiTheme="majorHAnsi"/>
        </w:rPr>
        <w:footnoteRef/>
      </w:r>
      <w:r w:rsidRPr="0062026B">
        <w:rPr>
          <w:rFonts w:asciiTheme="majorHAnsi" w:hAnsiTheme="majorHAnsi"/>
        </w:rPr>
        <w:t xml:space="preserve"> This project is funded by a postdoctoral research grant from FCT – </w:t>
      </w:r>
      <w:proofErr w:type="spellStart"/>
      <w:r w:rsidRPr="0062026B">
        <w:rPr>
          <w:rFonts w:asciiTheme="majorHAnsi" w:hAnsiTheme="majorHAnsi"/>
        </w:rPr>
        <w:t>Fundação</w:t>
      </w:r>
      <w:proofErr w:type="spellEnd"/>
      <w:r w:rsidRPr="0062026B">
        <w:rPr>
          <w:rFonts w:asciiTheme="majorHAnsi" w:hAnsiTheme="majorHAnsi"/>
        </w:rPr>
        <w:t xml:space="preserve"> </w:t>
      </w:r>
      <w:proofErr w:type="spellStart"/>
      <w:r w:rsidRPr="0062026B">
        <w:rPr>
          <w:rFonts w:asciiTheme="majorHAnsi" w:hAnsiTheme="majorHAnsi"/>
        </w:rPr>
        <w:t>para</w:t>
      </w:r>
      <w:proofErr w:type="spellEnd"/>
      <w:r w:rsidRPr="0062026B">
        <w:rPr>
          <w:rFonts w:asciiTheme="majorHAnsi" w:hAnsiTheme="majorHAnsi"/>
        </w:rPr>
        <w:t xml:space="preserve"> a </w:t>
      </w:r>
      <w:proofErr w:type="spellStart"/>
      <w:r w:rsidRPr="0062026B">
        <w:rPr>
          <w:rFonts w:asciiTheme="majorHAnsi" w:hAnsiTheme="majorHAnsi"/>
        </w:rPr>
        <w:t>Ciência</w:t>
      </w:r>
      <w:proofErr w:type="spellEnd"/>
      <w:r w:rsidRPr="0062026B">
        <w:rPr>
          <w:rFonts w:asciiTheme="majorHAnsi" w:hAnsiTheme="majorHAnsi"/>
        </w:rPr>
        <w:t xml:space="preserve"> e </w:t>
      </w:r>
      <w:proofErr w:type="spellStart"/>
      <w:r w:rsidRPr="0062026B">
        <w:rPr>
          <w:rFonts w:asciiTheme="majorHAnsi" w:hAnsiTheme="majorHAnsi"/>
        </w:rPr>
        <w:t>Tecnologia</w:t>
      </w:r>
      <w:proofErr w:type="spellEnd"/>
      <w:r w:rsidRPr="0062026B">
        <w:rPr>
          <w:rFonts w:asciiTheme="majorHAnsi" w:hAnsiTheme="majorHAnsi"/>
        </w:rPr>
        <w:t xml:space="preserve"> (Portuguese Science and Technology Foundation).</w:t>
      </w:r>
    </w:p>
  </w:footnote>
  <w:footnote w:id="2">
    <w:p w:rsidR="00A964F9" w:rsidRPr="0062026B" w:rsidRDefault="00A964F9" w:rsidP="00D714E2">
      <w:pPr>
        <w:pStyle w:val="Notedebasdepage"/>
        <w:rPr>
          <w:rFonts w:asciiTheme="majorHAnsi" w:hAnsiTheme="majorHAnsi"/>
        </w:rPr>
      </w:pPr>
      <w:r w:rsidRPr="0062026B">
        <w:rPr>
          <w:rStyle w:val="Appelnotedebasdep"/>
          <w:rFonts w:asciiTheme="majorHAnsi" w:hAnsiTheme="majorHAnsi"/>
        </w:rPr>
        <w:footnoteRef/>
      </w:r>
      <w:r w:rsidRPr="0062026B">
        <w:rPr>
          <w:rFonts w:asciiTheme="majorHAnsi" w:hAnsiTheme="majorHAnsi"/>
        </w:rPr>
        <w:t xml:space="preserve"> </w:t>
      </w:r>
      <w:hyperlink r:id="rId1" w:history="1">
        <w:r w:rsidRPr="0062026B">
          <w:rPr>
            <w:rStyle w:val="Lienhypertexte"/>
            <w:rFonts w:asciiTheme="majorHAnsi" w:hAnsiTheme="majorHAnsi"/>
          </w:rPr>
          <w:t>https://www.tamera.org/what-is-tamera/articles/idea-of-the-support-circle/</w:t>
        </w:r>
      </w:hyperlink>
      <w:r w:rsidRPr="0062026B">
        <w:rPr>
          <w:rFonts w:asciiTheme="majorHAnsi" w:hAnsiTheme="majorHAnsi"/>
        </w:rPr>
        <w:t xml:space="preserve"> (last retrieved March 14, 2016)</w:t>
      </w:r>
    </w:p>
  </w:footnote>
  <w:footnote w:id="3">
    <w:p w:rsidR="00A964F9" w:rsidRPr="00B200AD" w:rsidRDefault="00A964F9" w:rsidP="005E2ADD">
      <w:pPr>
        <w:pStyle w:val="Notedebasdepage"/>
      </w:pPr>
      <w:r>
        <w:rPr>
          <w:rStyle w:val="Appelnotedebasdep"/>
        </w:rPr>
        <w:footnoteRef/>
      </w:r>
      <w:r>
        <w:t xml:space="preserve"> </w:t>
      </w:r>
      <w:r w:rsidRPr="00B200AD">
        <w:t>At the time of fieldwork, Tamera didn´t have publicly available quantitative data that could discriminate between visitors and participants in educational and training programs, as well as indicate the total amount of participants in each program, either in 2015 or the previous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199C"/>
    <w:multiLevelType w:val="multilevel"/>
    <w:tmpl w:val="5E3CB86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36644904"/>
    <w:multiLevelType w:val="hybridMultilevel"/>
    <w:tmpl w:val="60946C2C"/>
    <w:lvl w:ilvl="0" w:tplc="60CA8A34">
      <w:numFmt w:val="bullet"/>
      <w:lvlText w:val="-"/>
      <w:lvlJc w:val="left"/>
      <w:pPr>
        <w:ind w:left="720" w:hanging="360"/>
      </w:pPr>
      <w:rPr>
        <w:rFonts w:ascii="Cambria" w:eastAsia="Cambria"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8D7E3F"/>
    <w:multiLevelType w:val="hybridMultilevel"/>
    <w:tmpl w:val="C52E1E1A"/>
    <w:lvl w:ilvl="0" w:tplc="7308832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92AB9"/>
    <w:multiLevelType w:val="hybridMultilevel"/>
    <w:tmpl w:val="0010A470"/>
    <w:lvl w:ilvl="0" w:tplc="8A94D9E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C21B6"/>
    <w:multiLevelType w:val="multilevel"/>
    <w:tmpl w:val="42AC3F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9A413B"/>
    <w:rsid w:val="0004544C"/>
    <w:rsid w:val="00060F70"/>
    <w:rsid w:val="000807E9"/>
    <w:rsid w:val="00145593"/>
    <w:rsid w:val="00155F98"/>
    <w:rsid w:val="0019138E"/>
    <w:rsid w:val="00196B30"/>
    <w:rsid w:val="0019761C"/>
    <w:rsid w:val="001C730B"/>
    <w:rsid w:val="001D4D2A"/>
    <w:rsid w:val="001F7F50"/>
    <w:rsid w:val="00251142"/>
    <w:rsid w:val="00275690"/>
    <w:rsid w:val="002B60D3"/>
    <w:rsid w:val="002D1038"/>
    <w:rsid w:val="002E17F7"/>
    <w:rsid w:val="002F18A4"/>
    <w:rsid w:val="00312D0E"/>
    <w:rsid w:val="00326DEA"/>
    <w:rsid w:val="00353BFF"/>
    <w:rsid w:val="003F3AAC"/>
    <w:rsid w:val="00411147"/>
    <w:rsid w:val="004458AC"/>
    <w:rsid w:val="004730C4"/>
    <w:rsid w:val="0048625F"/>
    <w:rsid w:val="004A0D57"/>
    <w:rsid w:val="004A35FB"/>
    <w:rsid w:val="004C763D"/>
    <w:rsid w:val="004D03CA"/>
    <w:rsid w:val="004F20B1"/>
    <w:rsid w:val="00501091"/>
    <w:rsid w:val="00510229"/>
    <w:rsid w:val="00517627"/>
    <w:rsid w:val="005658D8"/>
    <w:rsid w:val="005A4F93"/>
    <w:rsid w:val="005E2ADD"/>
    <w:rsid w:val="005E5A89"/>
    <w:rsid w:val="0062026B"/>
    <w:rsid w:val="00650BA0"/>
    <w:rsid w:val="00722B61"/>
    <w:rsid w:val="007C23BE"/>
    <w:rsid w:val="007C61AB"/>
    <w:rsid w:val="007D6F5B"/>
    <w:rsid w:val="008C0B89"/>
    <w:rsid w:val="008D423C"/>
    <w:rsid w:val="008D6CDC"/>
    <w:rsid w:val="00966AB4"/>
    <w:rsid w:val="0097351E"/>
    <w:rsid w:val="009A413B"/>
    <w:rsid w:val="009B08A3"/>
    <w:rsid w:val="00A0002A"/>
    <w:rsid w:val="00A964F9"/>
    <w:rsid w:val="00AD0B61"/>
    <w:rsid w:val="00B12145"/>
    <w:rsid w:val="00B53C97"/>
    <w:rsid w:val="00B53EB2"/>
    <w:rsid w:val="00C36521"/>
    <w:rsid w:val="00CD056B"/>
    <w:rsid w:val="00CE15B7"/>
    <w:rsid w:val="00CE403A"/>
    <w:rsid w:val="00D0308D"/>
    <w:rsid w:val="00D4556E"/>
    <w:rsid w:val="00D714E2"/>
    <w:rsid w:val="00D75381"/>
    <w:rsid w:val="00DB2C5E"/>
    <w:rsid w:val="00DB5DE2"/>
    <w:rsid w:val="00E40515"/>
    <w:rsid w:val="00E878C1"/>
    <w:rsid w:val="00E913A1"/>
    <w:rsid w:val="00F43015"/>
    <w:rsid w:val="00F504B0"/>
    <w:rsid w:val="00F67C61"/>
    <w:rsid w:val="00F82877"/>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PT"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iPriority="99"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iPriority="99"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9A413B"/>
    <w:pPr>
      <w:spacing w:after="160" w:line="259" w:lineRule="auto"/>
    </w:pPr>
    <w:rPr>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nhideWhenUsed/>
    <w:rsid w:val="00D4556E"/>
    <w:pPr>
      <w:spacing w:after="0" w:line="240" w:lineRule="auto"/>
    </w:pPr>
    <w:rPr>
      <w:sz w:val="20"/>
      <w:szCs w:val="20"/>
    </w:rPr>
  </w:style>
  <w:style w:type="character" w:customStyle="1" w:styleId="NotedefinCar">
    <w:name w:val="Note de fin Car"/>
    <w:basedOn w:val="Policepardfaut"/>
    <w:link w:val="Notedefin"/>
    <w:rsid w:val="00D4556E"/>
    <w:rPr>
      <w:sz w:val="20"/>
      <w:szCs w:val="20"/>
      <w:lang w:val="en-US"/>
    </w:rPr>
  </w:style>
  <w:style w:type="character" w:styleId="Appeldenotedefin">
    <w:name w:val="endnote reference"/>
    <w:basedOn w:val="Policepardfaut"/>
    <w:unhideWhenUsed/>
    <w:rsid w:val="00D4556E"/>
    <w:rPr>
      <w:vertAlign w:val="superscript"/>
    </w:rPr>
  </w:style>
  <w:style w:type="paragraph" w:customStyle="1" w:styleId="Default">
    <w:name w:val="Default"/>
    <w:rsid w:val="002B60D3"/>
    <w:pPr>
      <w:autoSpaceDE w:val="0"/>
      <w:autoSpaceDN w:val="0"/>
      <w:adjustRightInd w:val="0"/>
    </w:pPr>
    <w:rPr>
      <w:rFonts w:ascii="Cambria" w:hAnsi="Cambria" w:cs="Cambria"/>
      <w:color w:val="000000"/>
      <w:lang w:val="en-US"/>
    </w:rPr>
  </w:style>
  <w:style w:type="character" w:styleId="Appelnotedebasdep">
    <w:name w:val="footnote reference"/>
    <w:basedOn w:val="Policepardfaut"/>
    <w:uiPriority w:val="99"/>
    <w:unhideWhenUsed/>
    <w:rsid w:val="00D714E2"/>
    <w:rPr>
      <w:vertAlign w:val="superscript"/>
    </w:rPr>
  </w:style>
  <w:style w:type="character" w:styleId="Lienhypertexte">
    <w:name w:val="Hyperlink"/>
    <w:basedOn w:val="Policepardfaut"/>
    <w:uiPriority w:val="99"/>
    <w:rsid w:val="00D714E2"/>
    <w:rPr>
      <w:color w:val="0563C1"/>
      <w:u w:val="single"/>
    </w:rPr>
  </w:style>
  <w:style w:type="paragraph" w:styleId="Textedebulles">
    <w:name w:val="Balloon Text"/>
    <w:basedOn w:val="Normal"/>
    <w:link w:val="TextedebullesCar"/>
    <w:uiPriority w:val="99"/>
    <w:unhideWhenUsed/>
    <w:rsid w:val="00D714E2"/>
    <w:rPr>
      <w:rFonts w:ascii="Lucida Grande" w:eastAsia="Calibri" w:hAnsi="Lucida Grande" w:cs="Times New Roman"/>
      <w:sz w:val="18"/>
      <w:szCs w:val="18"/>
    </w:rPr>
  </w:style>
  <w:style w:type="character" w:customStyle="1" w:styleId="BalloonTextChar">
    <w:name w:val="Balloon Text Char"/>
    <w:basedOn w:val="Policepardfaut"/>
    <w:uiPriority w:val="99"/>
    <w:rsid w:val="00D714E2"/>
    <w:rPr>
      <w:rFonts w:ascii="Lucida Grande" w:hAnsi="Lucida Grande"/>
      <w:sz w:val="18"/>
      <w:szCs w:val="18"/>
      <w:lang w:val="en-US"/>
    </w:rPr>
  </w:style>
  <w:style w:type="character" w:customStyle="1" w:styleId="TextedebullesCar">
    <w:name w:val="Texte de bulles Car"/>
    <w:basedOn w:val="Policepardfaut"/>
    <w:link w:val="Textedebulles"/>
    <w:uiPriority w:val="99"/>
    <w:rsid w:val="00D714E2"/>
    <w:rPr>
      <w:rFonts w:ascii="Lucida Grande" w:eastAsia="Calibri" w:hAnsi="Lucida Grande" w:cs="Times New Roman"/>
      <w:sz w:val="18"/>
      <w:szCs w:val="18"/>
      <w:lang w:val="en-US"/>
    </w:rPr>
  </w:style>
  <w:style w:type="paragraph" w:styleId="Notedebasdepage">
    <w:name w:val="footnote text"/>
    <w:basedOn w:val="Normal"/>
    <w:link w:val="NotedebasdepageCar"/>
    <w:uiPriority w:val="99"/>
    <w:unhideWhenUsed/>
    <w:rsid w:val="00D714E2"/>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D714E2"/>
    <w:rPr>
      <w:rFonts w:ascii="Calibri" w:eastAsia="Calibri" w:hAnsi="Calibri" w:cs="Times New Roman"/>
      <w:sz w:val="20"/>
      <w:szCs w:val="20"/>
      <w:lang w:val="en-US"/>
    </w:rPr>
  </w:style>
  <w:style w:type="paragraph" w:styleId="Pieddepage">
    <w:name w:val="footer"/>
    <w:basedOn w:val="Normal"/>
    <w:link w:val="PieddepageCar"/>
    <w:uiPriority w:val="99"/>
    <w:unhideWhenUsed/>
    <w:rsid w:val="00D714E2"/>
    <w:pPr>
      <w:tabs>
        <w:tab w:val="center" w:pos="4320"/>
        <w:tab w:val="right" w:pos="8640"/>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D714E2"/>
    <w:rPr>
      <w:rFonts w:ascii="Calibri" w:eastAsia="Calibri" w:hAnsi="Calibri" w:cs="Times New Roman"/>
      <w:sz w:val="22"/>
      <w:szCs w:val="22"/>
      <w:lang w:val="en-US"/>
    </w:rPr>
  </w:style>
  <w:style w:type="character" w:styleId="Numrodepage">
    <w:name w:val="page number"/>
    <w:basedOn w:val="Policepardfaut"/>
    <w:uiPriority w:val="99"/>
    <w:unhideWhenUsed/>
    <w:rsid w:val="00D714E2"/>
  </w:style>
  <w:style w:type="paragraph" w:styleId="Titre">
    <w:name w:val="Title"/>
    <w:basedOn w:val="Normal"/>
    <w:next w:val="Normal"/>
    <w:link w:val="TitreCar"/>
    <w:uiPriority w:val="10"/>
    <w:qFormat/>
    <w:rsid w:val="00D714E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reCar">
    <w:name w:val="Titre Car"/>
    <w:basedOn w:val="Policepardfaut"/>
    <w:link w:val="Titre"/>
    <w:uiPriority w:val="10"/>
    <w:rsid w:val="00D714E2"/>
    <w:rPr>
      <w:rFonts w:ascii="Calibri Light" w:eastAsia="Times New Roman" w:hAnsi="Calibri Light" w:cs="Times New Roman"/>
      <w:spacing w:val="-10"/>
      <w:kern w:val="28"/>
      <w:sz w:val="56"/>
      <w:szCs w:val="56"/>
      <w:lang w:val="en-US"/>
    </w:rPr>
  </w:style>
  <w:style w:type="paragraph" w:styleId="NormalWeb">
    <w:name w:val="Normal (Web)"/>
    <w:basedOn w:val="Normal"/>
    <w:uiPriority w:val="99"/>
    <w:rsid w:val="00D714E2"/>
    <w:pPr>
      <w:spacing w:beforeLines="1" w:afterLines="1" w:line="240" w:lineRule="auto"/>
    </w:pPr>
    <w:rPr>
      <w:rFonts w:ascii="Times" w:eastAsia="Calibri" w:hAnsi="Times" w:cs="Times New Roman"/>
      <w:sz w:val="20"/>
      <w:szCs w:val="20"/>
      <w:lang w:val="pt-PT"/>
    </w:rPr>
  </w:style>
  <w:style w:type="character" w:styleId="CitationHTML">
    <w:name w:val="HTML Cite"/>
    <w:basedOn w:val="Policepardfaut"/>
    <w:uiPriority w:val="99"/>
    <w:unhideWhenUsed/>
    <w:rsid w:val="00D714E2"/>
    <w:rPr>
      <w:i/>
      <w:iCs/>
    </w:rPr>
  </w:style>
  <w:style w:type="paragraph" w:styleId="Paragraphedeliste">
    <w:name w:val="List Paragraph"/>
    <w:basedOn w:val="Normal"/>
    <w:rsid w:val="00B12145"/>
    <w:pPr>
      <w:ind w:left="720"/>
      <w:contextualSpacing/>
    </w:pPr>
  </w:style>
  <w:style w:type="paragraph" w:styleId="En-tte">
    <w:name w:val="header"/>
    <w:basedOn w:val="Normal"/>
    <w:link w:val="En-tteCar"/>
    <w:unhideWhenUsed/>
    <w:rsid w:val="007D6F5B"/>
    <w:pPr>
      <w:tabs>
        <w:tab w:val="center" w:pos="4680"/>
        <w:tab w:val="right" w:pos="9360"/>
      </w:tabs>
      <w:spacing w:after="0" w:line="240" w:lineRule="auto"/>
    </w:pPr>
  </w:style>
  <w:style w:type="character" w:customStyle="1" w:styleId="En-tteCar">
    <w:name w:val="En-tête Car"/>
    <w:basedOn w:val="Policepardfaut"/>
    <w:link w:val="En-tte"/>
    <w:rsid w:val="007D6F5B"/>
    <w:rPr>
      <w:sz w:val="22"/>
      <w:szCs w:val="22"/>
      <w:lang w:val="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createspa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tamera.org/what-is-tamera/articles/idea-of-the-support-cir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F92E-24A2-479E-ADD0-D7AEAD85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4664</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30257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Margarida Esteves</dc:creator>
  <cp:lastModifiedBy>M-Catherine Henry</cp:lastModifiedBy>
  <cp:revision>2</cp:revision>
  <dcterms:created xsi:type="dcterms:W3CDTF">2016-12-14T10:06:00Z</dcterms:created>
  <dcterms:modified xsi:type="dcterms:W3CDTF">2016-12-14T10:06:00Z</dcterms:modified>
</cp:coreProperties>
</file>